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 implementará la solución (MVP)  en un desarrollo web responsive en primera instancia para el lanzamiento, esto complementado con los requerimientos e integraciones ya expuestas.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Herramientas: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React, CSS3, HMLT5, TypeForm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Docker, Kubernetes.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Integraciones de pago (Mercado pago, webpay, transbank, etc), SII, Paperless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MongoDB (No relacionadas), MySQL (relacionadas)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eventos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usuarios.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ventas (Histórico), empresa y Usuario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Grafana (KPI, Métricas)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Medir y proyectar los aumentos de capacidad por evento. Así evitarás caídas o saturación del sitio.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Aumento de usuarios en simultaneo(Fila virtual)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Aumento de transacciones de pago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Aumento en la taza de registro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Análisis de datos para la toma de decisiones.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Evaluación futura implementación en aplicación para dispositivos móviles (Android, IOS,).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