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I</w:t>
      </w:r>
      <w:r>
        <w:rPr/>
        <w:t>nforme Técnico – Proyecto Arquitecturas Cloud Básicas</w:t>
      </w:r>
    </w:p>
    <w:p>
      <w:pPr>
        <w:pStyle w:val="Heading3"/>
        <w:bidi w:val="0"/>
        <w:jc w:val="left"/>
        <w:rPr/>
      </w:pPr>
      <w:r>
        <w:rPr/>
        <w:t>Situación Inicial</w:t>
      </w:r>
    </w:p>
    <w:p>
      <w:pPr>
        <w:pStyle w:val="BodyText"/>
        <w:bidi w:val="0"/>
        <w:jc w:val="left"/>
        <w:rPr/>
      </w:pPr>
      <w:r>
        <w:rPr/>
        <w:t>La empresa busca modernizar su infraestructura migrando servicios a la nube, con foco en escalabilidad, disponibilidad y eficiencia de costos.</w:t>
      </w:r>
    </w:p>
    <w:p>
      <w:pPr>
        <w:pStyle w:val="Heading3"/>
        <w:bidi w:val="0"/>
        <w:jc w:val="left"/>
        <w:rPr/>
      </w:pPr>
      <w:r>
        <w:rPr/>
        <w:t>Objetivo General</w:t>
      </w:r>
    </w:p>
    <w:p>
      <w:pPr>
        <w:pStyle w:val="BodyText"/>
        <w:bidi w:val="0"/>
        <w:jc w:val="left"/>
        <w:rPr/>
      </w:pPr>
      <w:r>
        <w:rPr/>
        <w:t>Diseñar una arquitectura cloud básica que integre almacenamiento, cómputo, red, mensajería y administración de costos, justificando cada decisión técnica.</w:t>
      </w:r>
    </w:p>
    <w:p>
      <w:pPr>
        <w:pStyle w:val="Heading2"/>
        <w:bidi w:val="0"/>
        <w:jc w:val="left"/>
        <w:rPr/>
      </w:pPr>
      <w:r>
        <w:rPr/>
        <w:t>Lección 1 – Arquitecturas de almacenamiento de objetos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Definir la estrategia de almacenamiento base.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selecciona </w:t>
      </w:r>
      <w:r>
        <w:rPr>
          <w:rStyle w:val="Strong"/>
        </w:rPr>
        <w:t>Amazon S3 (o equivalente GCP/Azure Blob Storage)</w:t>
      </w:r>
      <w:r>
        <w:rPr/>
        <w:t xml:space="preserve"> por su alta disponibilidad y durabilidad (99.999999999%).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Integra directamente con aplicaciones para almacenar objetos (logs, archivos, backups).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Diagrama técnico (simplificado):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Usuario → Aplicación → Servicio de almacenamiento de objetos (S3/Blob).</w:t>
      </w:r>
    </w:p>
    <w:p>
      <w:pPr>
        <w:pStyle w:val="BodyText"/>
        <w:bidi w:val="0"/>
        <w:jc w:val="left"/>
        <w:rPr/>
      </w:pPr>
      <w:r>
        <w:rPr>
          <w:rStyle w:val="Strong"/>
        </w:rPr>
        <w:t>Registro estimado de costos: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S3 Standard: ~0,023 USD/GB/mes.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100 GB iniciales → ~2,3 USD/mes.</w:t>
      </w:r>
    </w:p>
    <w:p>
      <w:pPr>
        <w:pStyle w:val="Heading2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7230" cy="276860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30" cy="27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jc w:val="left"/>
        <w:rPr/>
      </w:pPr>
      <w:r>
        <w:rPr/>
        <w:t>Lección 2 – Estrategias de almacenamiento y respaldo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Incorporar políticas de respaldo y recuperación.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Replicación cruzada entre buckets en distintas regiones (Cross-Region Replication).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Versionado de objetos para recuperación ante errores.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Política de ciclo de vida → mover datos antiguos a </w:t>
      </w:r>
      <w:r>
        <w:rPr>
          <w:rStyle w:val="Strong"/>
        </w:rPr>
        <w:t>S3 Glacier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Bucket principal → Replicación → Bucket secundario (otra región).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Glacier: 0,004 USD/GB/mes (para datos antiguos).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Replicación: costos de transferencia interregional (~0,02 USD/GB).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3030" cy="318960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318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Lección 3 – Arquitectura de nubes públicas, privadas e híbridas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Seleccionar modelo de implementación.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Modelo </w:t>
      </w:r>
      <w:r>
        <w:rPr>
          <w:rStyle w:val="Strong"/>
        </w:rPr>
        <w:t>Híbrido</w:t>
      </w:r>
      <w:r>
        <w:rPr/>
        <w:t>: aplicaciones críticas en on-premise + servicios escalables en nube pública.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VPN segura para integración.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On-premise datacenter ↔ VPN ↔ Nube pública (AWS/Azure/GCP).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VPN Site-to-Site: ~0,05 USD/hora (~36 USD/mes).</w:t>
      </w:r>
    </w:p>
    <w:p>
      <w:pPr>
        <w:pStyle w:val="Heading2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6410" cy="341884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41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jc w:val="left"/>
        <w:rPr/>
      </w:pPr>
      <w:r>
        <w:rPr/>
        <w:t>Lección 4 – Escalabilidad de servicios de cómputo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Auto Scaling.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Grupo de instancias con </w:t>
      </w:r>
      <w:r>
        <w:rPr>
          <w:rStyle w:val="Strong"/>
        </w:rPr>
        <w:t>Auto Scaling Group (ASG)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Balanceador de carga (Elastic Load Balancer).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Usuarios → Load Balancer → Instancias EC2 (ASG).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EC2 t3.medium (0,0416 USD/hora).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 Scaling ajusta instancias (ejemplo: 2–5 instancias).</w:t>
      </w:r>
    </w:p>
    <w:p>
      <w:pPr>
        <w:pStyle w:val="Heading2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8470" cy="340169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jc w:val="left"/>
        <w:rPr/>
      </w:pPr>
      <w:r>
        <w:rPr/>
        <w:t>Lección 5 – Alta disponibilidad de aplicaciones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Garantizar continuidad del servicio.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Distribución de instancias en múltiples </w:t>
      </w:r>
      <w:r>
        <w:rPr>
          <w:rStyle w:val="Strong"/>
        </w:rPr>
        <w:t>zonas de disponibilidad (AZs)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DNS gestionado (Route 53 o Cloud DNS).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LB → Zona A + Zona B (instancias duplicadas).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Route 53: 0,50 USD/zona + consultas DNS (~0,40 USD por millón).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6955" cy="375729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75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Lección 6 – Disponibilidad de contenidos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Optimizar entrega de contenidos.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Strong"/>
        </w:rPr>
        <w:t>CDN (CloudFront/Azure CDN/Cloud CDN)</w:t>
      </w:r>
      <w:r>
        <w:rPr/>
        <w:t xml:space="preserve"> para distribuir contenido estático.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Políticas de cache y HTTPS obligatorio.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CDN → Usuarios (contenido desde edge locations).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CloudFront: 0,085 USD/GB transferido (primer TB).</w:t>
      </w:r>
    </w:p>
    <w:p>
      <w:pPr>
        <w:pStyle w:val="Heading2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960" cy="346202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46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jc w:val="left"/>
        <w:rPr/>
      </w:pPr>
      <w:r>
        <w:rPr/>
        <w:t>Lección 7 – Arquitecturas orientadas a mensajes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Comunicación asíncrona entre servicios.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Strong"/>
        </w:rPr>
        <w:t>Amazon SQS / Google PubSub / Azure Service Bus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Mensajería desacoplada para microservicios.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Servicio A → Cola de mensajes → Servicio B.</w:t>
      </w:r>
    </w:p>
    <w:p>
      <w:pPr>
        <w:pStyle w:val="BodyText"/>
        <w:bidi w:val="0"/>
        <w:jc w:val="left"/>
        <w:rPr/>
      </w:pPr>
      <w:r>
        <w:rPr>
          <w:rStyle w:val="Strong"/>
        </w:rPr>
        <w:t>Costos: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SQS: 0,40 USD por millón de requests.</w:t>
      </w:r>
    </w:p>
    <w:p>
      <w:pPr>
        <w:pStyle w:val="Heading2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2235" cy="318325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Lección 8 – Administración de costos</w:t>
      </w:r>
    </w:p>
    <w:p>
      <w:pPr>
        <w:pStyle w:val="BodyText"/>
        <w:bidi w:val="0"/>
        <w:jc w:val="left"/>
        <w:rPr/>
      </w:pPr>
      <w:r>
        <w:rPr>
          <w:rStyle w:val="Strong"/>
        </w:rPr>
        <w:t>Objetivo:</w:t>
      </w:r>
      <w:r>
        <w:rPr/>
        <w:t xml:space="preserve"> Optimización financiera.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Decisiones técnicas: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Strong"/>
        </w:rPr>
        <w:t>Cost Explorer / Billing Alerts / Budgets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Políticas de apagado automático de entornos no productivos.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Diagrama técnico: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Consola Cloud Billing → Reportes + Alarmas.</w:t>
      </w:r>
    </w:p>
    <w:p>
      <w:pPr>
        <w:pStyle w:val="BodyText"/>
        <w:bidi w:val="0"/>
        <w:jc w:val="left"/>
        <w:rPr/>
      </w:pPr>
      <w:r>
        <w:rPr>
          <w:rStyle w:val="Strong"/>
        </w:rPr>
        <w:t>Costos (consolidados, estimados para 1 mes de pruebas):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S3: ~2,3 USD.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Replicación + Glacier: ~3 USD.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VPN: ~36 USD.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EC2 (2 instancias en promedio): ~60 USD.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Load Balancer: ~18 USD.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Route 53: ~1 USD.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CDN: ~8 USD (100 GB).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SQS: ~1 USD.</w:t>
        <w:br/>
      </w:r>
      <w:r>
        <w:rPr>
          <w:rStyle w:val="Strong"/>
        </w:rPr>
        <w:t>➡ Total estimado: ~129–140 USD/mes.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keepNext w:val="true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1350" cy="2727960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jc w:val="left"/>
        <w:rPr/>
      </w:pPr>
      <w:r>
        <w:rPr/>
        <w:t>Diagrama General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-55245</wp:posOffset>
            </wp:positionH>
            <wp:positionV relativeFrom="paragraph">
              <wp:posOffset>90170</wp:posOffset>
            </wp:positionV>
            <wp:extent cx="6332220" cy="3763010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Representa cómo interactúan usuarios, CDN, balanceadores, instancias en distintas zonas de disponibilidad, almacenamiento en la nube, backups, colas de mensajes y la integración con la infraestructura on-premise vía VPN, todo supervisado por herramientas de costos.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LibreOffice/25.2.5.2$MacOSX_AARCH64 LibreOffice_project/03d19516eb2e1dd5d4ccd751a0d6f35f35e08022</Application>
  <AppVersion>15.0000</AppVersion>
  <Pages>9</Pages>
  <Words>592</Words>
  <Characters>3556</Characters>
  <CharactersWithSpaces>4022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2025-08-21T20:04:18Z</dcterms:created>
  <dc:creator/>
  <dc:description/>
  <dc:language>es-CL</dc:language>
  <cp:lastModifiedBy/>
  <dcterms:modified xsi:type="dcterms:W3CDTF">2025-08-21T20:18:20Z</dcterms:modified>
  <cp:revision>1</cp:revision>
  <dc:subject/>
  <dc:title/>
</cp:coreProperties>
</file>