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.emf" ContentType="image/x-emf"/>
  <Override PartName="/word/media/image6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System overview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2418080" cy="702310"/>
            <wp:effectExtent l="0" t="0" r="0" b="0"/>
            <wp:wrapSquare wrapText="largest"/>
            <wp:docPr id="0" name="Picture" descr="System Overview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ystem Overview Simp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PID controller: </w:t>
      </w:r>
    </w:p>
    <w:p>
      <w:pPr>
        <w:pStyle w:val="Normal"/>
        <w:numPr>
          <w:ilvl w:val="0"/>
          <w:numId w:val="5"/>
        </w:numPr>
        <w:rPr>
          <w:rFonts w:ascii="DejaVu Sans" w:hAnsi="DejaVu Sans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Proportional–integral–derivative controller (PID controller). In this example the PID is implemented as a software</w:t>
      </w:r>
      <w:r>
        <w:rPr>
          <w:rFonts w:ascii="DejaVu Sans" w:hAnsi="DejaVu Sans"/>
          <w:b w:val="false"/>
          <w:bCs w:val="false"/>
          <w:sz w:val="20"/>
          <w:szCs w:val="20"/>
        </w:rPr>
        <w:t>(</w:t>
      </w:r>
      <w:r>
        <w:fldChar w:fldCharType="begin"/>
      </w:r>
      <w:r>
        <w:instrText> HYPERLINK "https://en.wikipedia.org/wiki/PID_controller" \l "Pseudocode"</w:instrText>
      </w:r>
      <w:r>
        <w:fldChar w:fldCharType="separate"/>
      </w:r>
      <w:r>
        <w:rPr>
          <w:rStyle w:val="InternetLink"/>
          <w:rFonts w:ascii="DejaVu Sans" w:hAnsi="DejaVu Sans"/>
          <w:b w:val="false"/>
          <w:bCs w:val="false"/>
          <w:sz w:val="20"/>
          <w:szCs w:val="20"/>
        </w:rPr>
        <w:t>Pseudocode</w:t>
      </w:r>
      <w:r>
        <w:fldChar w:fldCharType="end"/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). Instead of using a feedback loop the outputs are generated at a specific rate. This is necessary due to fact that the PID a spatially divided from the sensors. </w:t>
      </w:r>
    </w:p>
    <w:p>
      <w:pPr>
        <w:pStyle w:val="Normal"/>
        <w:numPr>
          <w:ilvl w:val="0"/>
          <w:numId w:val="5"/>
        </w:numPr>
        <w:rPr>
          <w:rFonts w:ascii="DejaVu Sans" w:hAnsi="DejaVu Sans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One of the PID is controlling a heater that is heating the vessel depending on the average temperature of top and bottom. The other one is controlling a mixer, that is activated if there is a temperature difference of the top and bottom sensor </w:t>
      </w:r>
    </w:p>
    <w:p>
      <w:pPr>
        <w:pStyle w:val="Normal"/>
        <w:numPr>
          <w:ilvl w:val="0"/>
          <w:numId w:val="5"/>
        </w:numPr>
        <w:rPr>
          <w:rFonts w:ascii="DejaVu Sans" w:hAnsi="DejaVu Sans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>Kp,Kd,Ki, setpoint and sample rate are set by the server</w:t>
      </w:r>
    </w:p>
    <w:p>
      <w:pPr>
        <w:pStyle w:val="Normal"/>
        <w:rPr>
          <w:rFonts w:ascii="DejaVu Sans" w:hAnsi="DejaVu Sans"/>
          <w:b w:val="false"/>
          <w:bCs w:val="false"/>
          <w:sz w:val="20"/>
          <w:szCs w:val="20"/>
        </w:rPr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Sensors:</w:t>
      </w:r>
    </w:p>
    <w:p>
      <w:pPr>
        <w:pStyle w:val="Normal"/>
        <w:numPr>
          <w:ilvl w:val="0"/>
          <w:numId w:val="2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The two sensors are collecting temperatures values from a vessel with a fluid</w:t>
      </w:r>
    </w:p>
    <w:p>
      <w:pPr>
        <w:pStyle w:val="Normal"/>
        <w:numPr>
          <w:ilvl w:val="0"/>
          <w:numId w:val="2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One is measuring on the bottom the other one measures on the top</w:t>
      </w:r>
    </w:p>
    <w:p>
      <w:pPr>
        <w:pStyle w:val="Normal"/>
        <w:numPr>
          <w:ilvl w:val="0"/>
          <w:numId w:val="2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The reported temperature is the average of many samples taken at different time points</w:t>
      </w:r>
    </w:p>
    <w:p>
      <w:pPr>
        <w:pStyle w:val="Normal"/>
        <w:numPr>
          <w:ilvl w:val="0"/>
          <w:numId w:val="2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Only samples within defined thresholds are accepted for the average 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Server: </w:t>
      </w:r>
    </w:p>
    <w:p>
      <w:pPr>
        <w:pStyle w:val="Normal"/>
        <w:numPr>
          <w:ilvl w:val="0"/>
          <w:numId w:val="3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Server is collecting values from the sensors </w:t>
      </w:r>
    </w:p>
    <w:p>
      <w:pPr>
        <w:pStyle w:val="Normal"/>
        <w:numPr>
          <w:ilvl w:val="0"/>
          <w:numId w:val="3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If there is a difference between the top and the bottom temperature the two PID are activated </w:t>
      </w:r>
    </w:p>
    <w:p>
      <w:pPr>
        <w:pStyle w:val="Normal"/>
        <w:numPr>
          <w:ilvl w:val="0"/>
          <w:numId w:val="3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Before the system starts operating a configuration is read over an interface. The configuration also sets-up the PID controller(Kp,Ki,Kd values). 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Bus(simple) </w:t>
      </w:r>
    </w:p>
    <w:p>
      <w:pPr>
        <w:pStyle w:val="Normal"/>
        <w:numPr>
          <w:ilvl w:val="0"/>
          <w:numId w:val="4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The </w:t>
      </w:r>
      <w:r>
        <w:rPr>
          <w:rFonts w:ascii="DejaVu Sans" w:hAnsi="DejaVu Sans"/>
          <w:sz w:val="20"/>
          <w:szCs w:val="20"/>
        </w:rPr>
        <w:t>bus</w:t>
      </w:r>
      <w:r>
        <w:rPr>
          <w:rFonts w:ascii="DejaVu Sans" w:hAnsi="DejaVu Sans"/>
          <w:sz w:val="20"/>
          <w:szCs w:val="20"/>
        </w:rPr>
        <w:t xml:space="preserve"> is routing the data depending on the requested addr</w:t>
      </w:r>
      <w:r>
        <w:rPr>
          <w:rFonts w:ascii="DejaVu Sans" w:hAnsi="DejaVu Sans"/>
          <w:sz w:val="20"/>
          <w:szCs w:val="20"/>
        </w:rPr>
        <w:t xml:space="preserve">ess </w:t>
      </w:r>
      <w:r>
        <w:rPr>
          <w:rFonts w:ascii="DejaVu Sans" w:hAnsi="DejaVu Sans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4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Only the server is allowed to start a transaction </w:t>
      </w:r>
    </w:p>
    <w:p>
      <w:pPr>
        <w:pStyle w:val="Normal"/>
        <w:numPr>
          <w:ilvl w:val="0"/>
          <w:numId w:val="4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Each transaction starts with a req</w:t>
      </w:r>
      <w:r>
        <w:rPr>
          <w:rFonts w:ascii="DejaVu Sans" w:hAnsi="DejaVu Sans"/>
          <w:sz w:val="20"/>
          <w:szCs w:val="20"/>
        </w:rPr>
        <w:t>uest</w:t>
      </w:r>
      <w:r>
        <w:rPr>
          <w:rFonts w:ascii="DejaVu Sans" w:hAnsi="DejaVu Sans"/>
          <w:sz w:val="20"/>
          <w:szCs w:val="20"/>
        </w:rPr>
        <w:t xml:space="preserve"> consisting of address, data, mode(read/write</w:t>
      </w:r>
      <w:r>
        <w:rPr>
          <w:rFonts w:ascii="DejaVu Sans" w:hAnsi="DejaVu Sans"/>
          <w:sz w:val="20"/>
          <w:szCs w:val="20"/>
        </w:rPr>
        <w:t xml:space="preserve">) and is ended by a resp(acknowledge, data) </w:t>
      </w:r>
    </w:p>
    <w:p>
      <w:pPr>
        <w:pStyle w:val="Normal"/>
        <w:numPr>
          <w:ilvl w:val="0"/>
          <w:numId w:val="4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If the server starts a transaction the interconnect will request the corresponding slave and waits for the response of the slave and forwards it the master. The </w:t>
      </w:r>
      <w:r>
        <w:rPr>
          <w:rFonts w:ascii="DejaVu Sans" w:hAnsi="DejaVu Sans"/>
          <w:sz w:val="20"/>
          <w:szCs w:val="20"/>
        </w:rPr>
        <w:t>bus</w:t>
      </w:r>
      <w:r>
        <w:rPr>
          <w:rFonts w:ascii="DejaVu Sans" w:hAnsi="DejaVu Sans"/>
          <w:sz w:val="20"/>
          <w:szCs w:val="20"/>
        </w:rPr>
        <w:t xml:space="preserve"> is blocked until the master has read the response. 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Bus(complex)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47625</wp:posOffset>
            </wp:positionH>
            <wp:positionV relativeFrom="paragraph">
              <wp:posOffset>107950</wp:posOffset>
            </wp:positionV>
            <wp:extent cx="2638425" cy="1850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In this implementation the </w:t>
      </w:r>
      <w:r>
        <w:rPr>
          <w:rFonts w:ascii="DejaVu Sans" w:hAnsi="DejaVu Sans"/>
          <w:sz w:val="20"/>
          <w:szCs w:val="20"/>
        </w:rPr>
        <w:t>W</w:t>
      </w:r>
      <w:r>
        <w:rPr>
          <w:rFonts w:ascii="DejaVu Sans" w:hAnsi="DejaVu Sans"/>
          <w:sz w:val="20"/>
          <w:szCs w:val="20"/>
        </w:rPr>
        <w:t xml:space="preserve">ishbone protocol is used to implement the bus transactions. </w:t>
      </w:r>
    </w:p>
    <w:p>
      <w:pPr>
        <w:pStyle w:val="Normal"/>
        <w:numPr>
          <w:ilvl w:val="0"/>
          <w:numId w:val="6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Instead of having just an entity “bus”, that forwards the request to the slave, we have a bus system that takes care of the transactions </w:t>
      </w:r>
    </w:p>
    <w:p>
      <w:pPr>
        <w:pStyle w:val="Normal"/>
        <w:numPr>
          <w:ilvl w:val="0"/>
          <w:numId w:val="6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A request from the Server is handled by the Master Agent. The Agents takes care of the bus protocol. </w:t>
      </w:r>
    </w:p>
    <w:p>
      <w:pPr>
        <w:pStyle w:val="Normal"/>
        <w:numPr>
          <w:ilvl w:val="0"/>
          <w:numId w:val="6"/>
        </w:num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Same applies for the Slave Agents, they act as a Wishbone Slave and have a regular blocking interface to the sensor/PID 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emf"/><Relationship Id="rId3" Type="http://schemas.openxmlformats.org/officeDocument/2006/relationships/image" Target="media/image7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2017-04-23T10:35:49Z</dcterms:created>
  <dc:language>en-US</dc:language>
  <cp:revision>0</cp:revision>
</cp:coreProperties>
</file>