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5A" w:rsidRDefault="00461B8E" w:rsidP="00461B8E">
      <w:pPr>
        <w:rPr>
          <w:b/>
          <w:lang w:val="en-US"/>
        </w:rPr>
      </w:pPr>
      <w:r>
        <w:rPr>
          <w:b/>
          <w:lang w:val="en-US"/>
        </w:rPr>
        <w:t>LEFTER ÇIPA – Grupi 5 – Master Shkencor Publik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Pyetja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1</w:t>
      </w:r>
    </w:p>
    <w:p w:rsidR="00F352DB" w:rsidRPr="00AD6007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Sqaro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shkruaj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përmbajtjen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neneve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që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parashikojnë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detyrimin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zgjidhjen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mosmarrëveshjeve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ndërkombëetare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mënyrë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paqësore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sipas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Kartës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OKB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dhe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llojet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mjeteve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që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parashikojnë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zgjidhje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(15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pikë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). </w:t>
      </w:r>
      <w:r w:rsidR="00AD6007">
        <w:rPr>
          <w:rFonts w:ascii="Segoe UI" w:hAnsi="Segoe UI" w:cs="Segoe UI"/>
          <w:color w:val="252424"/>
          <w:sz w:val="21"/>
          <w:szCs w:val="21"/>
        </w:rPr>
        <w:br/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Kapitulli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VI me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titull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“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Zgjidhja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Paqesore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konflikteve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”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percakton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nenet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saj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citimi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neni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33 “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Palet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konflikti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vijimi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cili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mund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sjelle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rrezikimin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rruajtjes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paqes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sigurise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nderkombetare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perpiqen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fillimisht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arrijne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zgjidhje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konfliktit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nepermjet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bisedimeve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analizave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ndermjetesimeve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gjykimeve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vendimeve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gjyqesore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perfshirjes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institucioneve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rajonale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ose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marresveshjes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apo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mjeteve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tjera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paqesore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baze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zgjedhjes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paleve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.”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Pika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2 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Nenit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33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ngarkon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Keshillit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Sigurimit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apelimin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zgjidhjen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konfliktit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nepermjet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mejeteve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 xml:space="preserve"> till ate </w:t>
      </w:r>
      <w:proofErr w:type="spellStart"/>
      <w:r w:rsidR="00176AA8">
        <w:rPr>
          <w:rFonts w:ascii="Segoe UI" w:hAnsi="Segoe UI" w:cs="Segoe UI"/>
          <w:b/>
          <w:color w:val="252424"/>
          <w:sz w:val="21"/>
          <w:szCs w:val="21"/>
        </w:rPr>
        <w:t>paqta</w:t>
      </w:r>
      <w:proofErr w:type="spellEnd"/>
      <w:r w:rsidR="00176AA8">
        <w:rPr>
          <w:rFonts w:ascii="Segoe UI" w:hAnsi="Segoe UI" w:cs="Segoe UI"/>
          <w:b/>
          <w:color w:val="252424"/>
          <w:sz w:val="21"/>
          <w:szCs w:val="21"/>
        </w:rPr>
        <w:t>.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Pyetja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2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Nëse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Shteti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dhe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Shteti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B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bien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dakort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ngritur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një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komision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Hetimi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cfarë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duhet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parashikojnë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marrëveshjen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hetimin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? Kush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zgjedh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anëtarët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Komisionit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Hetimit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?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Mund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referoheni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dispozitat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konkrete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Konventës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Hagës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1907 (15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Pikë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</w:t>
      </w:r>
      <w:r w:rsidR="00186BC9">
        <w:rPr>
          <w:rFonts w:ascii="Segoe UI" w:hAnsi="Segoe UI" w:cs="Segoe UI"/>
          <w:color w:val="252424"/>
          <w:sz w:val="21"/>
          <w:szCs w:val="21"/>
        </w:rPr>
        <w:br/>
      </w:r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marreveshjen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dy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shteteve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ngritjen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Komisionit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hetimor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percaktohen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gjitha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detajet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formale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menyren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kohen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formimit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Komisionit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shkallen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kompetencave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komisionereve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percaktimin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fakteve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qe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do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shqyrtohen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(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Neni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10).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Marreveshja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percakton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brenda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nevojes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vendin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ku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do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mblidhen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gjuhen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qe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do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perdoret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gjuhet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tjera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autorizuara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nese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mund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largohet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vendi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ngritur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shkak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hetimeve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daten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cilen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palet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duhet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depozitojne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deklaraten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faktet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cdo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kusht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tjeter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qe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cdo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pale do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perfshije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  <w:r w:rsidR="00AD6007">
        <w:rPr>
          <w:rFonts w:ascii="Segoe UI" w:hAnsi="Segoe UI" w:cs="Segoe UI"/>
          <w:b/>
          <w:color w:val="252424"/>
          <w:sz w:val="21"/>
          <w:szCs w:val="21"/>
        </w:rPr>
        <w:br/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Cdo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pale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emeron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dy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anetare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ku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njeri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prej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tyre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mund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jete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shtetas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pales.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Anetaret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perzgjedhur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emerojne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kryesuesin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komisionit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. Ne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rastet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kur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barazi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votash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fuqi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trete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besuar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paleve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marreveshje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nderhyn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pozitivisht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zgjedhjen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kryesuesit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. Ne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rastet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kur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nuk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arrihet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zgjedhja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anetareve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marreveshje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atehere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paraqiten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dy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candidate per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secilen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pale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lista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anetareve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Gjykates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Perhershme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>. (</w:t>
      </w:r>
      <w:proofErr w:type="spellStart"/>
      <w:r w:rsidR="00AD6007">
        <w:rPr>
          <w:rFonts w:ascii="Segoe UI" w:hAnsi="Segoe UI" w:cs="Segoe UI"/>
          <w:b/>
          <w:color w:val="252424"/>
          <w:sz w:val="21"/>
          <w:szCs w:val="21"/>
        </w:rPr>
        <w:t>Neni</w:t>
      </w:r>
      <w:proofErr w:type="spellEnd"/>
      <w:r w:rsidR="00AD6007">
        <w:rPr>
          <w:rFonts w:ascii="Segoe UI" w:hAnsi="Segoe UI" w:cs="Segoe UI"/>
          <w:b/>
          <w:color w:val="252424"/>
          <w:sz w:val="21"/>
          <w:szCs w:val="21"/>
        </w:rPr>
        <w:t xml:space="preserve"> 11)</w:t>
      </w:r>
      <w:r w:rsidR="00456315">
        <w:rPr>
          <w:rFonts w:ascii="Segoe UI" w:hAnsi="Segoe UI" w:cs="Segoe UI"/>
          <w:color w:val="252424"/>
          <w:sz w:val="21"/>
          <w:szCs w:val="21"/>
        </w:rPr>
        <w:br/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Pyetja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3.</w:t>
      </w:r>
    </w:p>
    <w:p w:rsidR="00F352DB" w:rsidRPr="00186BC9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Pse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procesin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zgjidhjes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Mosmarrëveshjeve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dhomën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ndërkombëtare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Tregtise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(ICC)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përfshihet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Gjykata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Ndërkombëtare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Arbitrazhit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dhe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tribunali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ad hoc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arbitrazhit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?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Cili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është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roli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secilës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structure? (15 Pike)</w:t>
      </w:r>
      <w:r w:rsidR="00186BC9">
        <w:rPr>
          <w:rFonts w:ascii="Segoe UI" w:hAnsi="Segoe UI" w:cs="Segoe UI"/>
          <w:color w:val="252424"/>
          <w:sz w:val="21"/>
          <w:szCs w:val="21"/>
        </w:rPr>
        <w:br/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Gjykata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nderkombetare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Arbitrazhit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eshte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structure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cila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perfshihet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kete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process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pasoje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detyres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qe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sigurimin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qe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vendimi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dal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jete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perputhje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rregullat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qellimin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mos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paturit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pengesa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zbatimin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tij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praktike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Tribunali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krahu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tjeter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vendos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kushte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ndershme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kompanine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shtetin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Ky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tribunal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percakton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termat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e references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cilat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specifikojne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palet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ceshtjen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tu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trajtuar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pretendimet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rregullat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procedural.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Ky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tribunal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nuk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jep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vendim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paleve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direct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sepse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ky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vendim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tribunalit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mund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modifikohet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ana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Gjykates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por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sigurisht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pa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ndikuar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lirine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vendimit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tribunalit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arbitrazhit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asnje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vendim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tribunalit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nuk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jepet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nese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nuk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miratohet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GjNA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lidhur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formen</w:t>
      </w:r>
      <w:proofErr w:type="spellEnd"/>
      <w:r w:rsidR="0088008A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88008A">
        <w:rPr>
          <w:rFonts w:ascii="Segoe UI" w:hAnsi="Segoe UI" w:cs="Segoe UI"/>
          <w:b/>
          <w:color w:val="252424"/>
          <w:sz w:val="21"/>
          <w:szCs w:val="21"/>
        </w:rPr>
        <w:t>tij</w:t>
      </w:r>
      <w:proofErr w:type="spellEnd"/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lastRenderedPageBreak/>
        <w:t>Pyetja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4.</w:t>
      </w:r>
    </w:p>
    <w:p w:rsidR="00F352DB" w:rsidRPr="00186BC9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Kur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ka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juridiksion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GJND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zgjidhjen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një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mosmarrëveshjeje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?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Sqaro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duke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treguar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bazën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që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mund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japë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juridiksion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GJND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cështjet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që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parashtrohen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(20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Pikë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</w:t>
      </w:r>
      <w:r w:rsidR="00186BC9">
        <w:rPr>
          <w:rFonts w:ascii="Segoe UI" w:hAnsi="Segoe UI" w:cs="Segoe UI"/>
          <w:color w:val="252424"/>
          <w:sz w:val="21"/>
          <w:szCs w:val="21"/>
        </w:rPr>
        <w:br/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Gjykata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nderkombetare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drejtesise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juridiksion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vetem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nese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shtetet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perfshira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mosmarreveshje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japin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pelqimin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gjykimin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ceshtjes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ana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GJND.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Ky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pelqim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behet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perpara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lindjes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ose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pas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lindjes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mosmarreveshjes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.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rastet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dhenies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pelqimit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paraprak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vjen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aderimi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tractate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ndryshme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shembull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“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Akti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pergjithshem</w:t>
      </w:r>
      <w:proofErr w:type="spellEnd"/>
      <w:proofErr w:type="gramStart"/>
      <w:r w:rsidR="00186BC9">
        <w:rPr>
          <w:rFonts w:ascii="Segoe UI" w:hAnsi="Segoe UI" w:cs="Segoe UI"/>
          <w:b/>
          <w:color w:val="252424"/>
          <w:sz w:val="21"/>
          <w:szCs w:val="21"/>
        </w:rPr>
        <w:t>” ,</w:t>
      </w:r>
      <w:proofErr w:type="gram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“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Pakti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Bogota”, “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Konventa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Evropiane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ZMN”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specifikisht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“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Konventa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Vienes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Marrdheniet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Konsullore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Protokolli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ZMN”.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Bazuar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nenin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36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pika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2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kesaj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Konvente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palet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pranojne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juridiksionin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GJND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japin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rezervat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tyre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.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rastet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pas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lindjes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mosmarreveshjes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kemi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dy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episode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mundshme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qe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jane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Kompromisi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Forum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Prorogatum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Pyetja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5.</w:t>
      </w: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Si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kuptoni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parimin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lirisë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zgjedhjes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mekanzimave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zgjidhjen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mosmarrëveshjeve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Konventën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Drejtën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detit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?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Sqaro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duke u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referuar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dispozitat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konkrete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Konventës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drejtën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Detit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</w:t>
      </w:r>
    </w:p>
    <w:p w:rsidR="00F352DB" w:rsidRPr="00456315" w:rsidRDefault="00456315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Parimi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lirise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zgjedhjes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mekanizmave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zgjidhjen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mosmarr</w:t>
      </w:r>
      <w:r w:rsidR="00186BC9">
        <w:rPr>
          <w:rFonts w:ascii="Segoe UI" w:hAnsi="Segoe UI" w:cs="Segoe UI"/>
          <w:b/>
          <w:color w:val="252424"/>
          <w:sz w:val="21"/>
          <w:szCs w:val="21"/>
        </w:rPr>
        <w:t>e</w:t>
      </w:r>
      <w:r>
        <w:rPr>
          <w:rFonts w:ascii="Segoe UI" w:hAnsi="Segoe UI" w:cs="Segoe UI"/>
          <w:b/>
          <w:color w:val="252424"/>
          <w:sz w:val="21"/>
          <w:szCs w:val="21"/>
        </w:rPr>
        <w:t>veshjes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Konventen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Drejten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Detit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eshte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parim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cili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mundeson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dyja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paleve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pas</w:t>
      </w:r>
      <w:r w:rsidR="00186BC9">
        <w:rPr>
          <w:rFonts w:ascii="Segoe UI" w:hAnsi="Segoe UI" w:cs="Segoe UI"/>
          <w:b/>
          <w:color w:val="252424"/>
          <w:sz w:val="21"/>
          <w:szCs w:val="21"/>
        </w:rPr>
        <w:t>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konsultimit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njera-tjetren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zgjedhjen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mekanizmi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sa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efikas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zgjidhjen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mosm</w:t>
      </w:r>
      <w:r w:rsidR="00186BC9">
        <w:rPr>
          <w:rFonts w:ascii="Segoe UI" w:hAnsi="Segoe UI" w:cs="Segoe UI"/>
          <w:b/>
          <w:color w:val="252424"/>
          <w:sz w:val="21"/>
          <w:szCs w:val="21"/>
        </w:rPr>
        <w:t>arrev</w:t>
      </w:r>
      <w:r>
        <w:rPr>
          <w:rFonts w:ascii="Segoe UI" w:hAnsi="Segoe UI" w:cs="Segoe UI"/>
          <w:b/>
          <w:color w:val="252424"/>
          <w:sz w:val="21"/>
          <w:szCs w:val="21"/>
        </w:rPr>
        <w:t>eshjeve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mes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dy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paleve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Aktualisht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Konventa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nuk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ndalon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shtet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arrij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zgjidh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mosmarreveshjet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me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cfaredo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menyre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paqesore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sipas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perzgjedhjes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b/>
          <w:color w:val="252424"/>
          <w:sz w:val="21"/>
          <w:szCs w:val="21"/>
        </w:rPr>
        <w:t>tij</w:t>
      </w:r>
      <w:proofErr w:type="spellEnd"/>
      <w:r>
        <w:rPr>
          <w:rFonts w:ascii="Segoe UI" w:hAnsi="Segoe UI" w:cs="Segoe UI"/>
          <w:b/>
          <w:color w:val="252424"/>
          <w:sz w:val="21"/>
          <w:szCs w:val="21"/>
        </w:rPr>
        <w:t>.</w:t>
      </w:r>
    </w:p>
    <w:p w:rsidR="00456315" w:rsidRDefault="00176AA8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Bazuar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ne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nenin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287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Konventes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Drejten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Detit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cdo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pale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pjese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konventes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k ate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drejten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zgjedhur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nje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ose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me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shume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menyra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per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te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 </w:t>
      </w:r>
      <w:bookmarkStart w:id="0" w:name="_GoBack"/>
      <w:bookmarkEnd w:id="0"/>
    </w:p>
    <w:p w:rsidR="00176AA8" w:rsidRDefault="00176AA8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:rsidR="00F352DB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Pyetja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6.</w:t>
      </w:r>
    </w:p>
    <w:p w:rsidR="00F352DB" w:rsidRPr="00456315" w:rsidRDefault="00F352DB" w:rsidP="00F352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Pse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mund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bllokohej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sistemi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zgjidhjen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mosmarrëveshjeve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GATT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dhe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cfarë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ndryshimi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u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realizua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në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OBT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për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evituar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bllokimin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procedurave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? (15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Pikë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</w:t>
      </w:r>
      <w:r w:rsidR="00456315">
        <w:rPr>
          <w:rFonts w:ascii="Segoe UI" w:hAnsi="Segoe UI" w:cs="Segoe UI"/>
          <w:color w:val="252424"/>
          <w:sz w:val="21"/>
          <w:szCs w:val="21"/>
        </w:rPr>
        <w:br/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Bllokimi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sistemit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mosmarrveshjet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ne GAATT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vinte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rrjedhoje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veshtiresise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ngritjes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se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Panelit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se per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miratuar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raportin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panelit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kerkohej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detyrimisht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 consensus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keshilli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GATT.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Nese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shtet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ndaj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cilit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ishte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ngritur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ceshtja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mund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refuzonte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dhenien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pelqimit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Nder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tjera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ky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sistem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paraqiste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paqartesi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problematika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perkiste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zbatimit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vendimeve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.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Gjithashtu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miratimi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marrveshjeve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nenshkruara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kuader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GATT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Raundit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Tokyos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sanksiononin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rregulla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ndryshme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Zgjidhjen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mosmarrveshjeve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nderkombetare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duke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sjell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problemin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e “norm </w:t>
      </w:r>
      <w:proofErr w:type="spellStart"/>
      <w:r w:rsidR="00456315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456315">
        <w:rPr>
          <w:rFonts w:ascii="Segoe UI" w:hAnsi="Segoe UI" w:cs="Segoe UI"/>
          <w:b/>
          <w:color w:val="252424"/>
          <w:sz w:val="21"/>
          <w:szCs w:val="21"/>
        </w:rPr>
        <w:t xml:space="preserve"> forum shopping”.</w:t>
      </w:r>
      <w:r w:rsidR="00186BC9">
        <w:rPr>
          <w:rFonts w:ascii="Segoe UI" w:hAnsi="Segoe UI" w:cs="Segoe UI"/>
          <w:b/>
          <w:color w:val="252424"/>
          <w:sz w:val="21"/>
          <w:szCs w:val="21"/>
        </w:rPr>
        <w:br/>
        <w:t xml:space="preserve">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dhene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zgjidhje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ketij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problemi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u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krijua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structure, DSB,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cila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eviton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nderhyrjet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politke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shtetet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anetare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Keshilli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GATT.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Kjo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structure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percaktoi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qartesi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rregulla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qartesi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zbatimin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vendimeve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. Ne DSB,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perbere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nga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Shtete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Anetare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refuzonte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krijimin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paneli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apo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refuzimin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raporti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vetem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rastet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kur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kishte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consensus 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refuzim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. Ne DSB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ishte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parashikuar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nje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Procedure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Apeli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,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Mundesi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zgjidhjeje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Arbitrazh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dhe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mekanizma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per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zbatimin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ne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praktike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te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 xml:space="preserve"> </w:t>
      </w:r>
      <w:proofErr w:type="spellStart"/>
      <w:r w:rsidR="00186BC9">
        <w:rPr>
          <w:rFonts w:ascii="Segoe UI" w:hAnsi="Segoe UI" w:cs="Segoe UI"/>
          <w:b/>
          <w:color w:val="252424"/>
          <w:sz w:val="21"/>
          <w:szCs w:val="21"/>
        </w:rPr>
        <w:t>vendimeve</w:t>
      </w:r>
      <w:proofErr w:type="spellEnd"/>
      <w:r w:rsidR="00186BC9">
        <w:rPr>
          <w:rFonts w:ascii="Segoe UI" w:hAnsi="Segoe UI" w:cs="Segoe UI"/>
          <w:b/>
          <w:color w:val="252424"/>
          <w:sz w:val="21"/>
          <w:szCs w:val="21"/>
        </w:rPr>
        <w:t>.</w:t>
      </w:r>
    </w:p>
    <w:p w:rsidR="00461B8E" w:rsidRDefault="00461B8E" w:rsidP="00461B8E">
      <w:pPr>
        <w:rPr>
          <w:b/>
          <w:lang w:val="en-US"/>
        </w:rPr>
      </w:pPr>
    </w:p>
    <w:p w:rsidR="00461B8E" w:rsidRPr="00461B8E" w:rsidRDefault="00461B8E" w:rsidP="00461B8E">
      <w:pPr>
        <w:rPr>
          <w:b/>
          <w:lang w:val="en-US"/>
        </w:rPr>
      </w:pPr>
    </w:p>
    <w:sectPr w:rsidR="00461B8E" w:rsidRPr="0046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8E"/>
    <w:rsid w:val="0009055A"/>
    <w:rsid w:val="001272A5"/>
    <w:rsid w:val="00176AA8"/>
    <w:rsid w:val="00186BC9"/>
    <w:rsid w:val="00456315"/>
    <w:rsid w:val="00461B8E"/>
    <w:rsid w:val="004A6BA5"/>
    <w:rsid w:val="00504D53"/>
    <w:rsid w:val="005313D3"/>
    <w:rsid w:val="00531823"/>
    <w:rsid w:val="006C3E0F"/>
    <w:rsid w:val="00863747"/>
    <w:rsid w:val="0088008A"/>
    <w:rsid w:val="00AD6007"/>
    <w:rsid w:val="00EC02ED"/>
    <w:rsid w:val="00F352DB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9061"/>
  <w15:chartTrackingRefBased/>
  <w15:docId w15:val="{21598FA4-3EFA-4181-BF66-6E1026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2021-02-12T10:25:00Z</dcterms:created>
  <dcterms:modified xsi:type="dcterms:W3CDTF">2021-02-12T11:58:00Z</dcterms:modified>
</cp:coreProperties>
</file>