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Luis Munoz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Course: CNT 4714 Spring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Assignment title: Project 2 – Synchronized, Cooperating Threads Under Locking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Due Date: February 11, 2024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Screenshot includes simulation starting, most of the threads starting including the Internal Auditor and blocked transactions.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317334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173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Scrolled further down to see flagged transactions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31420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142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Screenshot of transactions for this run including the ones in the previous screenshot.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302448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02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More screenshots showing other lines of the run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