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BFCF8A">
      <w:pPr>
        <w:jc w:val="center"/>
        <w:rPr>
          <w:rFonts w:ascii="Times New Roman" w:hAnsi="Times New Roman" w:eastAsia="宋体"/>
          <w:b/>
          <w:sz w:val="36"/>
        </w:rPr>
      </w:pPr>
      <w:r>
        <w:rPr>
          <w:rFonts w:hint="eastAsia" w:ascii="Times New Roman" w:hAnsi="Times New Roman" w:eastAsia="宋体"/>
          <w:b/>
          <w:sz w:val="36"/>
        </w:rPr>
        <w:t>差旅报销系统开发自测报告</w:t>
      </w:r>
    </w:p>
    <w:p w14:paraId="347A8F2F"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项目名称：vetech-reimburse（差旅/日常报销单项目）</w:t>
      </w:r>
    </w:p>
    <w:p w14:paraId="668F5C46"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自测日期：2026年6月2日</w:t>
      </w:r>
    </w:p>
    <w:p w14:paraId="52DEC401">
      <w:pP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测试范围：报销单列表、表单新建/编辑/复制/删除、行程补助联动、补助日历、费用分摊、前后端校验、接口与构建检查。</w:t>
      </w:r>
    </w:p>
    <w:p w14:paraId="25CD92EA">
      <w:pPr>
        <w:rPr>
          <w:rFonts w:ascii="Times New Roman" w:hAnsi="Times New Roman" w:eastAsia="宋体" w:cs="Times New Roman"/>
          <w:b/>
          <w:sz w:val="28"/>
        </w:rPr>
      </w:pPr>
      <w:r>
        <w:rPr>
          <w:rFonts w:hint="eastAsia" w:ascii="Times New Roman" w:hAnsi="Times New Roman" w:eastAsia="宋体" w:cs="Times New Roman"/>
          <w:b/>
          <w:sz w:val="28"/>
        </w:rPr>
        <w:t>功能自测明细</w:t>
      </w:r>
    </w:p>
    <w:tbl>
      <w:tblPr>
        <w:tblStyle w:val="15"/>
        <w:tblW w:w="9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8000"/>
      </w:tblGrid>
      <w:tr w14:paraId="2FD72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01A17669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功能名称</w:t>
            </w:r>
          </w:p>
        </w:tc>
        <w:tc>
          <w:tcPr>
            <w:tcW w:w="8000" w:type="dxa"/>
            <w:vAlign w:val="center"/>
          </w:tcPr>
          <w:p w14:paraId="2A48399E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报销单列表分页查询与多条件筛选</w:t>
            </w:r>
          </w:p>
        </w:tc>
      </w:tr>
      <w:tr w14:paraId="5D6E8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0" w:hRule="atLeast"/>
        </w:trPr>
        <w:tc>
          <w:tcPr>
            <w:tcW w:w="1600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6B187C68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需求描述</w:t>
            </w:r>
          </w:p>
        </w:tc>
        <w:tc>
          <w:tcPr>
            <w:tcW w:w="8000" w:type="dxa"/>
            <w:vAlign w:val="center"/>
          </w:tcPr>
          <w:p w14:paraId="25698DB8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列表页支持按报销单号、标题、事由模糊查询，并可按费用归属公司、报销部门、报销人、业务类型精确筛选；服务端分页返回 records、total、page、size。</w:t>
            </w:r>
          </w:p>
        </w:tc>
      </w:tr>
      <w:tr w14:paraId="4D3CD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0" w:hRule="atLeast"/>
        </w:trPr>
        <w:tc>
          <w:tcPr>
            <w:tcW w:w="1600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73FD341D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测试步骤</w:t>
            </w:r>
          </w:p>
        </w:tc>
        <w:tc>
          <w:tcPr>
            <w:tcW w:w="8000" w:type="dxa"/>
            <w:vAlign w:val="center"/>
          </w:tcPr>
          <w:p w14:paraId="14D0A93D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1、启动后端服务并打开前端列表页。</w:t>
            </w:r>
          </w:p>
          <w:p w14:paraId="2DC5B1CD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2、分别输入单号、标题、事由关键字查询。</w:t>
            </w:r>
          </w:p>
          <w:p w14:paraId="5F988A1E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3、选择公司、部门、报销人、业务类型并翻页、调整每页条数。</w:t>
            </w:r>
          </w:p>
          <w:p w14:paraId="53C52582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4、检查请求参数与 /api/reimburse/list 返回数据是否一致。</w:t>
            </w:r>
          </w:p>
        </w:tc>
      </w:tr>
      <w:tr w14:paraId="0A727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324A6C09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测试结果</w:t>
            </w:r>
          </w:p>
        </w:tc>
        <w:tc>
          <w:tcPr>
            <w:tcW w:w="8000" w:type="dxa"/>
            <w:vAlign w:val="center"/>
          </w:tcPr>
          <w:p w14:paraId="6C1F5E52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☑ </w:t>
            </w: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合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格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           </w:t>
            </w: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□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不合格</w:t>
            </w:r>
          </w:p>
        </w:tc>
      </w:tr>
      <w:tr w14:paraId="2D02A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63D1CE7F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备    注</w:t>
            </w:r>
          </w:p>
        </w:tc>
        <w:tc>
          <w:tcPr>
            <w:tcW w:w="8000" w:type="dxa"/>
            <w:vAlign w:val="center"/>
          </w:tcPr>
          <w:p w14:paraId="02EBD979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筛选字段与 ReimburseListQueryDTO 对齐；业务类型要求选择末级节点，父级选择会提示并回退。</w:t>
            </w:r>
          </w:p>
        </w:tc>
      </w:tr>
      <w:tr w14:paraId="5C559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1600" w:type="dxa"/>
            <w:shd w:val="clear" w:color="auto" w:fill="D9D9D9"/>
            <w:vAlign w:val="center"/>
          </w:tcPr>
          <w:p w14:paraId="5A34774A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测试截图</w:t>
            </w:r>
          </w:p>
        </w:tc>
        <w:tc>
          <w:tcPr>
            <w:tcW w:w="8000" w:type="dxa"/>
            <w:vAlign w:val="center"/>
          </w:tcPr>
          <w:p w14:paraId="6868CB01">
            <w:pPr>
              <w:rPr>
                <w:rFonts w:hint="eastAsia" w:ascii="Times New Roman" w:hAnsi="Times New Roman" w:eastAsia="宋体" w:cs="Times New Roman"/>
                <w:b/>
                <w:sz w:val="21"/>
              </w:rPr>
            </w:pPr>
            <w:r>
              <w:drawing>
                <wp:inline distT="0" distB="0" distL="114300" distR="114300">
                  <wp:extent cx="4941570" cy="2780030"/>
                  <wp:effectExtent l="0" t="0" r="11430" b="127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1570" cy="2780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4941570" cy="2780030"/>
                  <wp:effectExtent l="0" t="0" r="11430" b="127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1570" cy="2780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EAA918">
      <w:pPr>
        <w:rPr>
          <w:rFonts w:ascii="Times New Roman" w:hAnsi="Times New Roman" w:eastAsia="宋体" w:cs="Times New Roman"/>
          <w:b/>
          <w:sz w:val="28"/>
        </w:rPr>
      </w:pPr>
    </w:p>
    <w:tbl>
      <w:tblPr>
        <w:tblStyle w:val="15"/>
        <w:tblW w:w="9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8000"/>
      </w:tblGrid>
      <w:tr w14:paraId="0DF4B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4664D5CC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功能名称</w:t>
            </w:r>
          </w:p>
        </w:tc>
        <w:tc>
          <w:tcPr>
            <w:tcW w:w="8000" w:type="dxa"/>
            <w:vAlign w:val="center"/>
          </w:tcPr>
          <w:p w14:paraId="256AD185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报销单新建与编辑保存</w:t>
            </w:r>
          </w:p>
        </w:tc>
      </w:tr>
      <w:tr w14:paraId="192EB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0" w:hRule="atLeast"/>
        </w:trPr>
        <w:tc>
          <w:tcPr>
            <w:tcW w:w="1600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7F1319FE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需求描述</w:t>
            </w:r>
          </w:p>
        </w:tc>
        <w:tc>
          <w:tcPr>
            <w:tcW w:w="8000" w:type="dxa"/>
            <w:vAlign w:val="center"/>
          </w:tcPr>
          <w:p w14:paraId="1AD930B8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表单页支持维护基础信息、行程、补助、费用分摊和备注；新建调用 POST /create，编辑调用 PUT /update/{id}，保存后返回完整表单数据。</w:t>
            </w:r>
          </w:p>
        </w:tc>
      </w:tr>
      <w:tr w14:paraId="2B7A7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0" w:hRule="atLeast"/>
        </w:trPr>
        <w:tc>
          <w:tcPr>
            <w:tcW w:w="1600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3048F722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测试步骤</w:t>
            </w:r>
          </w:p>
        </w:tc>
        <w:tc>
          <w:tcPr>
            <w:tcW w:w="8000" w:type="dxa"/>
            <w:vAlign w:val="center"/>
          </w:tcPr>
          <w:p w14:paraId="084BAD2B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1、点击新建进入 /reimburse/form，填写公司、部门、报销人、业务类型、标题、事由。</w:t>
            </w:r>
          </w:p>
          <w:p w14:paraId="3C1FE858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2、录入至少一条行程、补助和分摊数据后保存。</w:t>
            </w:r>
          </w:p>
          <w:p w14:paraId="29FC1E84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3、返回列表后进入编辑页修改标题或备注再次保存。</w:t>
            </w:r>
          </w:p>
          <w:p w14:paraId="7A3DAF49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4、刷新详情检查主表和子表数据是否保持一致。</w:t>
            </w:r>
          </w:p>
        </w:tc>
      </w:tr>
      <w:tr w14:paraId="2A21C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15614A70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测试结果</w:t>
            </w:r>
          </w:p>
        </w:tc>
        <w:tc>
          <w:tcPr>
            <w:tcW w:w="8000" w:type="dxa"/>
            <w:vAlign w:val="center"/>
          </w:tcPr>
          <w:p w14:paraId="50716AFA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☑ </w:t>
            </w: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合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格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           </w:t>
            </w: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□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不合格</w:t>
            </w:r>
          </w:p>
        </w:tc>
      </w:tr>
      <w:tr w14:paraId="2174F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6DBB3927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备    注</w:t>
            </w:r>
          </w:p>
        </w:tc>
        <w:tc>
          <w:tcPr>
            <w:tcW w:w="8000" w:type="dxa"/>
            <w:vAlign w:val="center"/>
          </w:tcPr>
          <w:p w14:paraId="428C7518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后端 save 方法在同一事务内删除旧子表、重算分摊、校验并写入主子表，异常时回滚。</w:t>
            </w:r>
          </w:p>
        </w:tc>
      </w:tr>
      <w:tr w14:paraId="6510A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1600" w:type="dxa"/>
            <w:shd w:val="clear" w:color="auto" w:fill="D9D9D9"/>
            <w:vAlign w:val="center"/>
          </w:tcPr>
          <w:p w14:paraId="1E548AC3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测试截图</w:t>
            </w:r>
          </w:p>
        </w:tc>
        <w:tc>
          <w:tcPr>
            <w:tcW w:w="8000" w:type="dxa"/>
            <w:vAlign w:val="center"/>
          </w:tcPr>
          <w:p w14:paraId="2C5C1EA7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drawing>
                <wp:inline distT="0" distB="0" distL="114300" distR="114300">
                  <wp:extent cx="4941570" cy="2780030"/>
                  <wp:effectExtent l="0" t="0" r="11430" b="127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1570" cy="2780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4941570" cy="2780030"/>
                  <wp:effectExtent l="0" t="0" r="11430" b="127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1570" cy="2780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4941570" cy="2780030"/>
                  <wp:effectExtent l="0" t="0" r="11430" b="127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1570" cy="2780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E4BE40">
      <w:pPr>
        <w:rPr>
          <w:rFonts w:ascii="Times New Roman" w:hAnsi="Times New Roman" w:eastAsia="宋体" w:cs="Times New Roman"/>
          <w:b/>
          <w:sz w:val="28"/>
        </w:rPr>
      </w:pPr>
    </w:p>
    <w:tbl>
      <w:tblPr>
        <w:tblStyle w:val="15"/>
        <w:tblW w:w="960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8000"/>
      </w:tblGrid>
      <w:tr w14:paraId="7076A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4C0F9B8F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功能名称</w:t>
            </w:r>
          </w:p>
        </w:tc>
        <w:tc>
          <w:tcPr>
            <w:tcW w:w="8000" w:type="dxa"/>
            <w:vAlign w:val="center"/>
          </w:tcPr>
          <w:p w14:paraId="0DCF9AEA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行程与补助一一对应联动</w:t>
            </w:r>
          </w:p>
        </w:tc>
      </w:tr>
      <w:tr w14:paraId="0747F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0" w:hRule="atLeast"/>
        </w:trPr>
        <w:tc>
          <w:tcPr>
            <w:tcW w:w="1600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13FBD377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需求描述</w:t>
            </w:r>
          </w:p>
        </w:tc>
        <w:tc>
          <w:tcPr>
            <w:tcW w:w="8000" w:type="dxa"/>
            <w:vAlign w:val="center"/>
          </w:tcPr>
          <w:p w14:paraId="3EEC38B3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行程新增、删除、日期或城市变化时，前端自动同步补助记录；补助 itineraryId 与行程 id 双向关联，不允许遗漏、重复或错绑。</w:t>
            </w:r>
          </w:p>
        </w:tc>
      </w:tr>
      <w:tr w14:paraId="6ADE0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0" w:hRule="atLeast"/>
        </w:trPr>
        <w:tc>
          <w:tcPr>
            <w:tcW w:w="1600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6E8B45DD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测试步骤</w:t>
            </w:r>
          </w:p>
        </w:tc>
        <w:tc>
          <w:tcPr>
            <w:tcW w:w="8000" w:type="dxa"/>
            <w:vAlign w:val="center"/>
          </w:tcPr>
          <w:p w14:paraId="4189BF0D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1、在表单中新增两条行程，检查补助区自动生成两条对应记录。</w:t>
            </w:r>
          </w:p>
          <w:p w14:paraId="4C41BE79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2、修改行程日期、出发/到达城市，检查补助路线、天数、日历明细同步更新。</w:t>
            </w:r>
          </w:p>
          <w:p w14:paraId="3961E2FB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3、删除一条行程，检查对应补助同步删除。</w:t>
            </w:r>
          </w:p>
          <w:p w14:paraId="70042A77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4、提交前触发前端和后端校验。</w:t>
            </w:r>
          </w:p>
        </w:tc>
      </w:tr>
      <w:tr w14:paraId="5B2B4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6302686B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测试结果</w:t>
            </w:r>
          </w:p>
        </w:tc>
        <w:tc>
          <w:tcPr>
            <w:tcW w:w="8000" w:type="dxa"/>
            <w:vAlign w:val="center"/>
          </w:tcPr>
          <w:p w14:paraId="6E6CB366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☑ </w:t>
            </w: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合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格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           </w:t>
            </w: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□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不合格</w:t>
            </w:r>
          </w:p>
        </w:tc>
      </w:tr>
      <w:tr w14:paraId="1EE95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26E0EF3E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备    注</w:t>
            </w:r>
          </w:p>
        </w:tc>
        <w:tc>
          <w:tcPr>
            <w:tcW w:w="8000" w:type="dxa"/>
            <w:vAlign w:val="center"/>
          </w:tcPr>
          <w:p w14:paraId="1E46D86B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前端 validateItinerarySubsidyLink 与后端 ReimburseFormValidator 规则一致。</w:t>
            </w:r>
          </w:p>
        </w:tc>
      </w:tr>
      <w:tr w14:paraId="066F3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1600" w:type="dxa"/>
            <w:shd w:val="clear" w:color="auto" w:fill="D9D9D9"/>
            <w:vAlign w:val="center"/>
          </w:tcPr>
          <w:p w14:paraId="77F6990C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测试截图</w:t>
            </w:r>
          </w:p>
        </w:tc>
        <w:tc>
          <w:tcPr>
            <w:tcW w:w="8000" w:type="dxa"/>
            <w:vAlign w:val="center"/>
          </w:tcPr>
          <w:p w14:paraId="4A5A54AC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drawing>
                <wp:inline distT="0" distB="0" distL="114300" distR="114300">
                  <wp:extent cx="4941570" cy="2780030"/>
                  <wp:effectExtent l="0" t="0" r="11430" b="127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1570" cy="2780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FCA219">
      <w:pPr>
        <w:rPr>
          <w:rFonts w:ascii="Times New Roman" w:hAnsi="Times New Roman" w:eastAsia="宋体" w:cs="Times New Roman"/>
          <w:b/>
          <w:sz w:val="28"/>
        </w:rPr>
      </w:pPr>
    </w:p>
    <w:tbl>
      <w:tblPr>
        <w:tblStyle w:val="15"/>
        <w:tblW w:w="960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8000"/>
      </w:tblGrid>
      <w:tr w14:paraId="7D62A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78779826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功能名称</w:t>
            </w:r>
          </w:p>
        </w:tc>
        <w:tc>
          <w:tcPr>
            <w:tcW w:w="8000" w:type="dxa"/>
            <w:vAlign w:val="center"/>
          </w:tcPr>
          <w:p w14:paraId="1F14D601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补助日历计算</w:t>
            </w:r>
          </w:p>
        </w:tc>
      </w:tr>
      <w:tr w14:paraId="72134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0" w:hRule="atLeast"/>
        </w:trPr>
        <w:tc>
          <w:tcPr>
            <w:tcW w:w="1600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4C1151A3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需求描述</w:t>
            </w:r>
          </w:p>
        </w:tc>
        <w:tc>
          <w:tcPr>
            <w:tcW w:w="8000" w:type="dxa"/>
            <w:vAlign w:val="center"/>
          </w:tcPr>
          <w:p w14:paraId="4F75B7A6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补助日历支持按日勾选餐补、交通、通讯，可按列/全选操作；餐补按城市类型取标准额，交通和通讯按固定标准计算。</w:t>
            </w:r>
          </w:p>
        </w:tc>
      </w:tr>
      <w:tr w14:paraId="71C93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0" w:hRule="atLeast"/>
        </w:trPr>
        <w:tc>
          <w:tcPr>
            <w:tcW w:w="1600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68D31C9E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测试步骤</w:t>
            </w:r>
          </w:p>
        </w:tc>
        <w:tc>
          <w:tcPr>
            <w:tcW w:w="8000" w:type="dxa"/>
            <w:vAlign w:val="center"/>
          </w:tcPr>
          <w:p w14:paraId="11888026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1、打开补助日历弹窗。</w:t>
            </w:r>
          </w:p>
          <w:p w14:paraId="3703663C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2、分别勾选餐补、交通、通讯单元格，调整金额。</w:t>
            </w:r>
          </w:p>
          <w:p w14:paraId="7B25F058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3、执行按列全选、取消全选操作。</w:t>
            </w:r>
          </w:p>
          <w:p w14:paraId="05FDB9AF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4、点击确认，检查餐补、交通、通讯及补助合计回写金额。</w:t>
            </w:r>
          </w:p>
        </w:tc>
      </w:tr>
      <w:tr w14:paraId="0FBC6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4E84E35D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测试结果</w:t>
            </w:r>
          </w:p>
        </w:tc>
        <w:tc>
          <w:tcPr>
            <w:tcW w:w="8000" w:type="dxa"/>
            <w:vAlign w:val="center"/>
          </w:tcPr>
          <w:p w14:paraId="5B13554E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☑ </w:t>
            </w: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合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格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           </w:t>
            </w: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□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不合格</w:t>
            </w:r>
          </w:p>
        </w:tc>
      </w:tr>
      <w:tr w14:paraId="4374A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49F29452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备    注</w:t>
            </w:r>
          </w:p>
        </w:tc>
        <w:tc>
          <w:tcPr>
            <w:tcW w:w="8000" w:type="dxa"/>
            <w:vAlign w:val="center"/>
          </w:tcPr>
          <w:p w14:paraId="7A30F6AF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金额需在 0 到标准额之间；未勾选项不计入合计，展示逻辑兼容历史数据。</w:t>
            </w:r>
          </w:p>
        </w:tc>
      </w:tr>
      <w:tr w14:paraId="0EA2B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1600" w:type="dxa"/>
            <w:shd w:val="clear" w:color="auto" w:fill="D9D9D9"/>
            <w:vAlign w:val="center"/>
          </w:tcPr>
          <w:p w14:paraId="6CA46B61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测试截图</w:t>
            </w:r>
          </w:p>
        </w:tc>
        <w:tc>
          <w:tcPr>
            <w:tcW w:w="8000" w:type="dxa"/>
            <w:vAlign w:val="center"/>
          </w:tcPr>
          <w:p w14:paraId="7AB8625E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drawing>
                <wp:inline distT="0" distB="0" distL="114300" distR="114300">
                  <wp:extent cx="4941570" cy="2780030"/>
                  <wp:effectExtent l="0" t="0" r="11430" b="127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1570" cy="2780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4941570" cy="2780030"/>
                  <wp:effectExtent l="0" t="0" r="11430" b="127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1570" cy="2780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B8EB0B">
      <w:pPr>
        <w:rPr>
          <w:rFonts w:ascii="Times New Roman" w:hAnsi="Times New Roman" w:eastAsia="宋体" w:cs="Times New Roman"/>
          <w:b/>
          <w:sz w:val="28"/>
        </w:rPr>
      </w:pPr>
    </w:p>
    <w:tbl>
      <w:tblPr>
        <w:tblStyle w:val="15"/>
        <w:tblW w:w="960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8000"/>
      </w:tblGrid>
      <w:tr w14:paraId="18D1A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0E11A626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功能名称</w:t>
            </w:r>
          </w:p>
        </w:tc>
        <w:tc>
          <w:tcPr>
            <w:tcW w:w="8000" w:type="dxa"/>
            <w:vAlign w:val="center"/>
          </w:tcPr>
          <w:p w14:paraId="561FB0E2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费用分摊比例与金额计算</w:t>
            </w:r>
          </w:p>
        </w:tc>
      </w:tr>
      <w:tr w14:paraId="2A3CB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0" w:hRule="atLeast"/>
        </w:trPr>
        <w:tc>
          <w:tcPr>
            <w:tcW w:w="1600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3DFF3BE8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需求描述</w:t>
            </w:r>
          </w:p>
        </w:tc>
        <w:tc>
          <w:tcPr>
            <w:tcW w:w="8000" w:type="dxa"/>
            <w:vAlign w:val="center"/>
          </w:tcPr>
          <w:p w14:paraId="03A9F586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费用分摊比例合计必须为 100%，分摊金额合计必须等于补助总金额；金额按比例分配时保留两位小数，尾差补到首行。</w:t>
            </w:r>
          </w:p>
        </w:tc>
      </w:tr>
      <w:tr w14:paraId="7CE77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0" w:hRule="atLeast"/>
        </w:trPr>
        <w:tc>
          <w:tcPr>
            <w:tcW w:w="1600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768571A7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测试步骤</w:t>
            </w:r>
          </w:p>
        </w:tc>
        <w:tc>
          <w:tcPr>
            <w:tcW w:w="8000" w:type="dxa"/>
            <w:vAlign w:val="center"/>
          </w:tcPr>
          <w:p w14:paraId="213F140F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1、录入多条分摊记录并设置比例合计为 100%。</w:t>
            </w:r>
          </w:p>
          <w:p w14:paraId="437E099C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2、修改补助总额，检查分摊金额自动重算。</w:t>
            </w:r>
          </w:p>
          <w:p w14:paraId="19519855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3、构造 33.33%、33.33%、33.34% 等容易产生尾差的比例。</w:t>
            </w:r>
          </w:p>
          <w:p w14:paraId="78660555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4、检查金额合计是否精确等于补助总金额。</w:t>
            </w:r>
          </w:p>
        </w:tc>
      </w:tr>
      <w:tr w14:paraId="3CBBA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57AD6B1F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测试结果</w:t>
            </w:r>
          </w:p>
        </w:tc>
        <w:tc>
          <w:tcPr>
            <w:tcW w:w="8000" w:type="dxa"/>
            <w:vAlign w:val="center"/>
          </w:tcPr>
          <w:p w14:paraId="32F35975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☑ </w:t>
            </w: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合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格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           </w:t>
            </w: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□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不合格</w:t>
            </w:r>
          </w:p>
        </w:tc>
      </w:tr>
      <w:tr w14:paraId="492C6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05BAFC12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备    注</w:t>
            </w:r>
          </w:p>
        </w:tc>
        <w:tc>
          <w:tcPr>
            <w:tcW w:w="8000" w:type="dxa"/>
            <w:vAlign w:val="center"/>
          </w:tcPr>
          <w:p w14:paraId="7164F589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前端 distributeAllocationAmounts 与后端 AllocationAmountUtil.distribute 对齐，避免财务 0.01 元误差。</w:t>
            </w:r>
          </w:p>
        </w:tc>
      </w:tr>
      <w:tr w14:paraId="196B7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1600" w:type="dxa"/>
            <w:shd w:val="clear" w:color="auto" w:fill="D9D9D9"/>
            <w:vAlign w:val="center"/>
          </w:tcPr>
          <w:p w14:paraId="48ACF6F3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测试截图</w:t>
            </w:r>
          </w:p>
        </w:tc>
        <w:tc>
          <w:tcPr>
            <w:tcW w:w="8000" w:type="dxa"/>
            <w:vAlign w:val="center"/>
          </w:tcPr>
          <w:p w14:paraId="2E8AAF15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drawing>
                <wp:inline distT="0" distB="0" distL="114300" distR="114300">
                  <wp:extent cx="4941570" cy="2780030"/>
                  <wp:effectExtent l="0" t="0" r="11430" b="127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1570" cy="2780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E2C745">
      <w:pPr>
        <w:rPr>
          <w:rFonts w:ascii="Times New Roman" w:hAnsi="Times New Roman" w:eastAsia="宋体" w:cs="Times New Roman"/>
          <w:b/>
          <w:sz w:val="28"/>
        </w:rPr>
      </w:pPr>
    </w:p>
    <w:tbl>
      <w:tblPr>
        <w:tblStyle w:val="15"/>
        <w:tblW w:w="960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8000"/>
      </w:tblGrid>
      <w:tr w14:paraId="43145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5F7F0A61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功能名称</w:t>
            </w:r>
          </w:p>
        </w:tc>
        <w:tc>
          <w:tcPr>
            <w:tcW w:w="8000" w:type="dxa"/>
            <w:vAlign w:val="center"/>
          </w:tcPr>
          <w:p w14:paraId="27BE1ABC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提交前双重校验</w:t>
            </w:r>
          </w:p>
        </w:tc>
      </w:tr>
      <w:tr w14:paraId="0E94A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0" w:hRule="atLeast"/>
        </w:trPr>
        <w:tc>
          <w:tcPr>
            <w:tcW w:w="1600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7F2FD7FA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需求描述</w:t>
            </w:r>
          </w:p>
        </w:tc>
        <w:tc>
          <w:tcPr>
            <w:tcW w:w="8000" w:type="dxa"/>
            <w:vAlign w:val="center"/>
          </w:tcPr>
          <w:p w14:paraId="697D7F97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提交前先执行前端 validateReimburseForm，再调用 POST /api/reimburse/validate 进行后端校验，校验不通过时提示具体原因。</w:t>
            </w:r>
          </w:p>
        </w:tc>
      </w:tr>
      <w:tr w14:paraId="3E164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0" w:hRule="atLeast"/>
        </w:trPr>
        <w:tc>
          <w:tcPr>
            <w:tcW w:w="1600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770DC059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测试步骤</w:t>
            </w:r>
          </w:p>
        </w:tc>
        <w:tc>
          <w:tcPr>
            <w:tcW w:w="8000" w:type="dxa"/>
            <w:vAlign w:val="center"/>
          </w:tcPr>
          <w:p w14:paraId="173B28DD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1、构造必填项为空的表单提交。</w:t>
            </w:r>
          </w:p>
          <w:p w14:paraId="0BBDC945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2、构造无行程、补助未关联行程、分摊比例不等于 100% 的异常数据。</w:t>
            </w:r>
          </w:p>
          <w:p w14:paraId="2D553749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3、调用校验接口检查返回 valid=false 与中文 message。</w:t>
            </w:r>
          </w:p>
          <w:p w14:paraId="65991DBA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4、修正数据后再次提交，检查校验通过。</w:t>
            </w:r>
          </w:p>
        </w:tc>
      </w:tr>
      <w:tr w14:paraId="179DE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784BF8D0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测试结果</w:t>
            </w:r>
          </w:p>
        </w:tc>
        <w:tc>
          <w:tcPr>
            <w:tcW w:w="8000" w:type="dxa"/>
            <w:vAlign w:val="center"/>
          </w:tcPr>
          <w:p w14:paraId="159531A3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☑ </w:t>
            </w: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合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格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           </w:t>
            </w: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□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不合格</w:t>
            </w:r>
          </w:p>
        </w:tc>
      </w:tr>
      <w:tr w14:paraId="47353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1FBD3C19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备    注</w:t>
            </w:r>
          </w:p>
        </w:tc>
        <w:tc>
          <w:tcPr>
            <w:tcW w:w="8000" w:type="dxa"/>
            <w:vAlign w:val="center"/>
          </w:tcPr>
          <w:p w14:paraId="39B74740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后端不可用时，前端校验通过可降级继续保存；实际联调建议保持后端校验可用。</w:t>
            </w:r>
          </w:p>
        </w:tc>
      </w:tr>
      <w:tr w14:paraId="7B5B8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1600" w:type="dxa"/>
            <w:shd w:val="clear" w:color="auto" w:fill="D9D9D9"/>
            <w:vAlign w:val="center"/>
          </w:tcPr>
          <w:p w14:paraId="5F7D3977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测试截图</w:t>
            </w:r>
          </w:p>
        </w:tc>
        <w:tc>
          <w:tcPr>
            <w:tcW w:w="8000" w:type="dxa"/>
            <w:vAlign w:val="center"/>
          </w:tcPr>
          <w:p w14:paraId="621283EA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897120" cy="2593975"/>
                  <wp:effectExtent l="0" t="0" r="5080" b="9525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7120" cy="259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950460" cy="2638425"/>
                  <wp:effectExtent l="0" t="0" r="2540" b="3175"/>
                  <wp:docPr id="14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4950460" cy="2638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893310" cy="2580005"/>
                  <wp:effectExtent l="0" t="0" r="8890" b="10795"/>
                  <wp:docPr id="16" name="图片 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3310" cy="25800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AA926A">
      <w:pPr>
        <w:rPr>
          <w:rFonts w:ascii="Times New Roman" w:hAnsi="Times New Roman" w:eastAsia="宋体" w:cs="Times New Roman"/>
          <w:b/>
          <w:sz w:val="28"/>
        </w:rPr>
      </w:pPr>
    </w:p>
    <w:tbl>
      <w:tblPr>
        <w:tblStyle w:val="15"/>
        <w:tblW w:w="960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8000"/>
      </w:tblGrid>
      <w:tr w14:paraId="2CC85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4329D593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功能名称</w:t>
            </w:r>
          </w:p>
        </w:tc>
        <w:tc>
          <w:tcPr>
            <w:tcW w:w="8000" w:type="dxa"/>
            <w:vAlign w:val="center"/>
          </w:tcPr>
          <w:p w14:paraId="36F33F18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复制与删除报销单</w:t>
            </w:r>
          </w:p>
        </w:tc>
      </w:tr>
      <w:tr w14:paraId="7CF0F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0" w:hRule="atLeast"/>
        </w:trPr>
        <w:tc>
          <w:tcPr>
            <w:tcW w:w="1600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1D6FF626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需求描述</w:t>
            </w:r>
          </w:p>
        </w:tc>
        <w:tc>
          <w:tcPr>
            <w:tcW w:w="8000" w:type="dxa"/>
            <w:vAlign w:val="center"/>
          </w:tcPr>
          <w:p w14:paraId="6B42CE4B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列表页支持复制和删除；复制基于源单重建主子表，清空原 id 并生成新单；删除主单时通过外键级联删除子表。</w:t>
            </w:r>
          </w:p>
        </w:tc>
      </w:tr>
      <w:tr w14:paraId="180CA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0" w:hRule="atLeast"/>
        </w:trPr>
        <w:tc>
          <w:tcPr>
            <w:tcW w:w="1600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4492D668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测试步骤</w:t>
            </w:r>
          </w:p>
        </w:tc>
        <w:tc>
          <w:tcPr>
            <w:tcW w:w="8000" w:type="dxa"/>
            <w:vAlign w:val="center"/>
          </w:tcPr>
          <w:p w14:paraId="14E3C4CE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1、在列表选择一条已有报销单点击复制并确认。</w:t>
            </w:r>
          </w:p>
          <w:p w14:paraId="3DEDA80B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2、检查复制后的新记录标题、行程、补助、分摊是否正确，且 id 与源单不同。</w:t>
            </w:r>
          </w:p>
          <w:p w14:paraId="01C6C713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3、选择新复制记录点击删除并确认。</w:t>
            </w:r>
          </w:p>
          <w:p w14:paraId="503839C2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4、刷新列表，检查记录已移除且详情接口不可再访问。</w:t>
            </w:r>
          </w:p>
        </w:tc>
      </w:tr>
      <w:tr w14:paraId="55B4D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38CEC400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测试结果</w:t>
            </w:r>
          </w:p>
        </w:tc>
        <w:tc>
          <w:tcPr>
            <w:tcW w:w="8000" w:type="dxa"/>
            <w:vAlign w:val="center"/>
          </w:tcPr>
          <w:p w14:paraId="6F42188D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☑ </w:t>
            </w: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合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格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           </w:t>
            </w: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□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不合格</w:t>
            </w:r>
          </w:p>
        </w:tc>
      </w:tr>
      <w:tr w14:paraId="7951D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14A74C20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备    注</w:t>
            </w:r>
          </w:p>
        </w:tc>
        <w:tc>
          <w:tcPr>
            <w:tcW w:w="8000" w:type="dxa"/>
            <w:vAlign w:val="center"/>
          </w:tcPr>
          <w:p w14:paraId="712025AA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复制逻辑会重建行程临时 id 与补助关联，避免复制后子表仍指向源单。</w:t>
            </w:r>
          </w:p>
        </w:tc>
      </w:tr>
      <w:tr w14:paraId="5B91C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1600" w:type="dxa"/>
            <w:shd w:val="clear" w:color="auto" w:fill="D9D9D9"/>
            <w:vAlign w:val="center"/>
          </w:tcPr>
          <w:p w14:paraId="533A58F2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测试截图</w:t>
            </w:r>
          </w:p>
        </w:tc>
        <w:tc>
          <w:tcPr>
            <w:tcW w:w="8000" w:type="dxa"/>
            <w:vAlign w:val="center"/>
          </w:tcPr>
          <w:p w14:paraId="00731FA6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drawing>
                <wp:inline distT="0" distB="0" distL="114300" distR="114300">
                  <wp:extent cx="4941570" cy="2780030"/>
                  <wp:effectExtent l="0" t="0" r="11430" b="127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1570" cy="2780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4941570" cy="2780030"/>
                  <wp:effectExtent l="0" t="0" r="11430" b="127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1570" cy="2780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BCFE48">
      <w:pPr>
        <w:rPr>
          <w:rFonts w:ascii="Times New Roman" w:hAnsi="Times New Roman" w:eastAsia="宋体" w:cs="Times New Roman"/>
          <w:b/>
          <w:sz w:val="28"/>
        </w:rPr>
      </w:pPr>
    </w:p>
    <w:tbl>
      <w:tblPr>
        <w:tblStyle w:val="15"/>
        <w:tblW w:w="960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8000"/>
      </w:tblGrid>
      <w:tr w14:paraId="537EC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19EE3A2C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功能名称</w:t>
            </w:r>
          </w:p>
        </w:tc>
        <w:tc>
          <w:tcPr>
            <w:tcW w:w="8000" w:type="dxa"/>
            <w:vAlign w:val="center"/>
          </w:tcPr>
          <w:p w14:paraId="633A6D45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详情接口与异常处理</w:t>
            </w:r>
          </w:p>
        </w:tc>
      </w:tr>
      <w:tr w14:paraId="0EE69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0" w:hRule="atLeast"/>
        </w:trPr>
        <w:tc>
          <w:tcPr>
            <w:tcW w:w="1600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42BB5374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需求描述</w:t>
            </w:r>
          </w:p>
        </w:tc>
        <w:tc>
          <w:tcPr>
            <w:tcW w:w="8000" w:type="dxa"/>
            <w:vAlign w:val="center"/>
          </w:tcPr>
          <w:p w14:paraId="277D59B1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详情接口 GET /detail/{id} 返回主表、行程、补助、分摊完整数据；不存在的 id 由全局异常处理返回 404 与统一 Result 结构。</w:t>
            </w:r>
          </w:p>
        </w:tc>
      </w:tr>
      <w:tr w14:paraId="7F7CC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0" w:hRule="atLeast"/>
        </w:trPr>
        <w:tc>
          <w:tcPr>
            <w:tcW w:w="1600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3F844882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测试步骤</w:t>
            </w:r>
          </w:p>
        </w:tc>
        <w:tc>
          <w:tcPr>
            <w:tcW w:w="8000" w:type="dxa"/>
            <w:vAlign w:val="center"/>
          </w:tcPr>
          <w:p w14:paraId="3B83DCA8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1、请求列表第一条记录详情。</w:t>
            </w:r>
          </w:p>
          <w:p w14:paraId="565FF4F7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2、检查响应包含 itineraries、subsidies、allocations。</w:t>
            </w:r>
          </w:p>
          <w:p w14:paraId="19181DBD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3、请求不存在的 /detail/99999。</w:t>
            </w:r>
          </w:p>
          <w:p w14:paraId="50DE695C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4、检查 HTTP 状态码和 body 中 code、message 是否符合约定。</w:t>
            </w:r>
          </w:p>
        </w:tc>
      </w:tr>
      <w:tr w14:paraId="1DB2B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713282F9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测试结果</w:t>
            </w:r>
          </w:p>
        </w:tc>
        <w:tc>
          <w:tcPr>
            <w:tcW w:w="8000" w:type="dxa"/>
            <w:vAlign w:val="center"/>
          </w:tcPr>
          <w:p w14:paraId="39D78FC1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☑ </w:t>
            </w: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合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格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           </w:t>
            </w: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□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不合格</w:t>
            </w:r>
          </w:p>
        </w:tc>
      </w:tr>
      <w:tr w14:paraId="59BC0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6D3D3100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备    注</w:t>
            </w:r>
          </w:p>
        </w:tc>
        <w:tc>
          <w:tcPr>
            <w:tcW w:w="8000" w:type="dxa"/>
            <w:vAlign w:val="center"/>
          </w:tcPr>
          <w:p w14:paraId="5F8DB094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Controller 统一返回 Result&lt;T&gt;；NoSuchElementException 与 IllegalArgumentException 由 GlobalExceptionHandler 处理。</w:t>
            </w:r>
          </w:p>
        </w:tc>
      </w:tr>
      <w:tr w14:paraId="7073B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1600" w:type="dxa"/>
            <w:shd w:val="clear" w:color="auto" w:fill="D9D9D9"/>
            <w:vAlign w:val="center"/>
          </w:tcPr>
          <w:p w14:paraId="1D66EC57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测试截图</w:t>
            </w:r>
          </w:p>
        </w:tc>
        <w:tc>
          <w:tcPr>
            <w:tcW w:w="8000" w:type="dxa"/>
            <w:vAlign w:val="center"/>
          </w:tcPr>
          <w:p w14:paraId="10859A0E">
            <w:pPr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drawing>
                <wp:inline distT="0" distB="0" distL="114300" distR="114300">
                  <wp:extent cx="4941570" cy="2780030"/>
                  <wp:effectExtent l="0" t="0" r="11430" b="1270"/>
                  <wp:docPr id="1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1570" cy="2780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4941570" cy="2780030"/>
                  <wp:effectExtent l="0" t="0" r="11430" b="127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1570" cy="2780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E6A98E">
      <w:pPr>
        <w:rPr>
          <w:rFonts w:hint="eastAsia" w:ascii="Times New Roman" w:hAnsi="Times New Roman" w:eastAsia="宋体" w:cs="Times New Roman"/>
          <w:b/>
          <w:sz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36EA"/>
    <w:rsid w:val="00260FFA"/>
    <w:rsid w:val="00282DA7"/>
    <w:rsid w:val="003036EA"/>
    <w:rsid w:val="00796FDC"/>
    <w:rsid w:val="00896E35"/>
    <w:rsid w:val="0096440E"/>
    <w:rsid w:val="00B926FB"/>
    <w:rsid w:val="03727304"/>
    <w:rsid w:val="105C0C21"/>
    <w:rsid w:val="116F2B22"/>
    <w:rsid w:val="64C03099"/>
    <w:rsid w:val="726431DB"/>
    <w:rsid w:val="7E722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1713</Words>
  <Characters>2188</Characters>
  <Lines>138</Lines>
  <Paragraphs>152</Paragraphs>
  <TotalTime>3</TotalTime>
  <ScaleCrop>false</ScaleCrop>
  <LinksUpToDate>false</LinksUpToDate>
  <CharactersWithSpaces>2411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2026-06-02T08:16:00Z</dcterms:created>
  <dc:creator>志军 杨</dc:creator>
  <cp:lastModifiedBy>赵家彬</cp:lastModifiedBy>
  <dcterms:modified xsi:type="dcterms:W3CDTF">2026-06-02T15:41:39Z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eyJoZGlkIjoiNWE2YzAzZjIzOTM4YTM0ZTlhOTg4ZGM0NmY1MGE4MTUiLCJ1c2VySWQiOiI0NjIyNzQ4NTEifQ==</vt:lpwstr>
  </property>
  <property fmtid="{D5CDD505-2E9C-101B-9397-08002B2CF9AE}" pid="3" name="KSOProductBuildVer">
    <vt:lpwstr>2052-12.1.0.21915</vt:lpwstr>
  </property>
  <property fmtid="{D5CDD505-2E9C-101B-9397-08002B2CF9AE}" pid="4" name="ICV">
    <vt:lpwstr>EF81D152F37F4460A2BA6B26ACF887A2_12</vt:lpwstr>
  </property>
</Properties>
</file>