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87"/>
        <w:gridCol w:w="3633"/>
        <w:gridCol w:w="3278"/>
        <w:gridCol w:w="1658"/>
      </w:tblGrid>
      <w:tr>
        <w:trPr>
          <w:trHeight w:val="617" w:hRule="auto"/>
          <w:tblHeader/>
        </w:trPr>
        header 1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Table 2. BP Control by key predictors (survey-weighted)</w:t>
            </w:r>
          </w:p>
        </w:tc>
      </w:tr>
      <w:tr>
        <w:trPr>
          <w:trHeight w:val="60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BP 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, N = 344,407,031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BP 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, N = 296,087,834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1999-2000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[27%, 37%]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2001-2002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[32%, 38%]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2003-2004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[36%, 44%]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2005-2006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[41%, 47%]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2007-2008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[45%, 51%]</w:t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2009-2010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[50%, 57%]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[47%, 56%]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[49%, 59%]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2015-2016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[44%, 53%]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2017-2020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[46%, 51%]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(years): 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 (15.3)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59.9 (12.8)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[59, 60]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(years): categorical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to 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[35%, 41%]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to 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[48%, 52%]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to 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[49%, 52%]</w:t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[36%, 40%]</w:t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[43%, 46%]</w:t>
            </w:r>
          </w:p>
        </w:tc>
      </w:tr>
      <w:tr>
        <w:trPr>
          <w:trHeight w:val="61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[46%, 49%]</w:t>
            </w:r>
          </w:p>
        </w:tc>
      </w:tr>
      <w:tr>
        <w:trPr>
          <w:trHeight w:val="57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[47%, 50%]</w:t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[40%, 43%]</w:t>
            </w:r>
          </w:p>
        </w:tc>
      </w:tr>
      <w:tr>
        <w:trPr>
          <w:trHeight w:val="6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[36%, 42%]</w:t>
            </w:r>
          </w:p>
        </w:tc>
      </w:tr>
      <w:tr>
        <w:trPr>
          <w:trHeight w:val="61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[40%, 46%]</w:t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[37%, 48%]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[44%, 47%]</w:t>
            </w:r>
          </w:p>
        </w:tc>
      </w:tr>
      <w:tr>
        <w:trPr>
          <w:trHeight w:val="61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[47%, 51%]</w:t>
            </w:r>
          </w:p>
        </w:tc>
      </w:tr>
      <w:tr>
        <w:trPr>
          <w:trHeight w:val="61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[41%, 46%]</w:t>
            </w:r>
          </w:p>
        </w:tc>
      </w:tr>
      <w:tr>
        <w:trPr>
          <w:trHeight w:val="60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1,449,089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142,182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[32%, 37%]</w:t>
            </w:r>
          </w:p>
        </w:tc>
      </w:tr>
      <w:tr>
        <w:trPr>
          <w:trHeight w:val="615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to 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[43%, 47%]</w:t>
            </w:r>
          </w:p>
        </w:tc>
      </w:tr>
      <w:tr>
        <w:trPr>
          <w:trHeight w:val="615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to &lt;35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[49%, 53%]</w:t>
            </w:r>
          </w:p>
        </w:tc>
      </w:tr>
      <w:tr>
        <w:trPr>
          <w:trHeight w:val="615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[51%, 55%]</w:t>
            </w:r>
          </w:p>
        </w:tc>
      </w:tr>
      <w:tr>
        <w:trPr>
          <w:trHeight w:val="60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8,304,944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7,179,565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[53%, 58%]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Chronic kidney disease: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[41%, 44%]</w:t>
            </w:r>
          </w:p>
        </w:tc>
      </w:tr>
      <w:tr>
        <w:trPr>
          <w:trHeight w:val="615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cardiovascular disease: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[53%, 57%]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Self-reported antihypertensive medication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[65%, 67%]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Class of antihypertensive 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[3.1%, 4.3%]</w:t>
            </w:r>
          </w:p>
        </w:tc>
      </w:tr>
      <w:tr>
        <w:trPr>
          <w:trHeight w:val="615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[60%, 64%]</w:t>
            </w:r>
          </w:p>
        </w:tc>
      </w:tr>
      <w:tr>
        <w:trPr>
          <w:trHeight w:val="615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[64%, 67%]</w:t>
            </w:r>
          </w:p>
        </w:tc>
      </w:tr>
      <w:tr>
        <w:trPr>
          <w:trHeight w:val="615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[59%, 64%]</w:t>
            </w:r>
          </w:p>
        </w:tc>
      </w:tr>
      <w:tr>
        <w:trPr>
          <w:trHeight w:val="615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Four or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[57%, 65%]</w:t>
            </w:r>
          </w:p>
        </w:tc>
      </w:tr>
      <w:tr>
        <w:trPr>
          <w:trHeight w:val="60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2,633,140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2,437,063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Average Systolic 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151.6 (15.5)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121.8 (11.3)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[121, 122]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Average Diastolic 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 (14.7)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69.0 (10.9)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[69, 69]</w:t>
            </w:r>
          </w:p>
        </w:tc>
      </w:tr>
      <w:tr>
        <w:trPr>
          <w:trHeight w:val="615" w:hRule="auto"/>
        </w:trPr>
        body51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awareness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58.6%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[57%, 60%]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(SE); %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2025-12-19T15:20:14Z</dcterms:modified>
  <cp:category/>
</cp:coreProperties>
</file>