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Lavagem de Fachada Envidraçada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especializados de limpeza, lavagem e conservação técnica da fachada envidraçada do Edifício Sede MGI/ES em Vitória/ES. Conforme o Acórdão TCU nº 2.622/2013 (Prestação de Serviços Técnicos / Manutenção de Edifícios), a faixa referencial situa-se entre 20,34% (1º Quartil), 22,12% (Médio) e 25,00% (3º Quartil). Demonstra-se a seguir que a opção pelo limite superior (25,00%) decorre da alíquota tributária municipal local e do risco inerente ao trabalho em altura na fachada operacional.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lavagem e conservação de fachadas,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Trabalho em Altura Crítico (NR-35), Equipamentos Suspensos e Risco Operacional: </w:t>
      </w:r>
      <w:r>
        <w:rPr>
          <w:sz w:val="17"/>
        </w:rPr>
        <w:t>A lavagem da fachada envidraçada envolve operação de balancins elétricos/plataformas suspensas e alpinismo industrial a grande altura. Exige rigorosa conformidade com a NR-35, ancoragens testadas, linhas de vida, EPIs/EPCs específicos e apólices de seguro contra acidentes e terceiros, justificando o gerenciamento contínuo.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Operacional, Proteção de Transeuntes e Produtos Especiais: </w:t>
      </w:r>
      <w:r>
        <w:rPr>
          <w:sz w:val="17"/>
        </w:rPr>
        <w:t>Por se tratar do Edifício Sede público com fluxo intenso de servidores e pedestres, os serviços requerem isolamento de perímetro urbano, telas de proteção, uso de detergentes neutros biodegradáveis que preservam as vedações de silicone e alumínio anodizado, e execução em janelas de menor tráfego.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 alta complexidade e riscos do trabalho em altura em fachada de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