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Tratamento e Recuperação de Juntas de Dilatação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especializados de tratamento, remoção de selante degradado, preparação de lábios poliméricos e vedação com mastique elastomérico das juntas de dilatação do Edifício Sede MGI/ES. Conforme o Acórdão TCU nº 2.622/2013 (Reforma e Manutenção de Edifícios), a faixa referencial situa-se entre 20,34% (1º Quartil), 22,12% (Médio) e 25,00% (3º Quartil). Demonstra-se a seguir que a opção pelo limite superior (25,00%) decorre da alíquota tributária municipal local e das elevadas exigências de estanqueidade e segurança operacional da intervenção.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engenharia civil/reformas,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Especificidade Técnica Estrutural e Materiais de Alta Performance: </w:t>
      </w:r>
      <w:r>
        <w:rPr>
          <w:sz w:val="17"/>
        </w:rPr>
        <w:t>O tratamento de juntas estruturais exige raspagem e limpeza de bordas de concreto, aplicação de cordão delimitador de profundidade (Tarfoam), primer promotor de aderência e injeção/extrusão de mastique de poliuretano (PU) de alto módulo elastomérico. Exige rigorosa garantia de estanqueidade contra infiltrações estruturais.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Operacional, Trabalho em Altura (NR-35) e Edifício em Atividade: </w:t>
      </w:r>
      <w:r>
        <w:rPr>
          <w:sz w:val="17"/>
        </w:rPr>
        <w:t>A execução em juntas verticais de fachadas e horizontais em coberturas/pisos exige balancins, plataformas suspensas, isolamento de áreas de trânsito, contenção de resíduos e execução concentrada fora do expediente administrativo (janelas noturnas/finais de semana) para preservação do fluxo público.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 alta especificidade técnica e logística do tratamento de juntas de dilatação em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