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Pintura Anticorrosiva das Grades no Entorno do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preparação de superfície, raspagem, lixamento, tratamento anticorrosivo e pintura de acabamento das grades metálicas do entorno do Edifício Sede MGI/ES em Vitória/ES. Conforme o Acórdão TCU nº 2.622/2013 (Reforma e Manutenção de Edifícios), a faixa referencial situa-se entre 20,34% (1º Quartil), 22,12% (Médio) e 25,00% (3º Quartil). Demonstra-se a seguir que a opção pelo limite superior (25,00%) decorre estritamente da alíquota tributária municipal local e das condições de exposição salina e segurança no entorno.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conservação/pintura,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Tratamento Anticorrosivo Severo e Proteção Contra Maresia Litoral: </w:t>
      </w:r>
      <w:r>
        <w:rPr>
          <w:sz w:val="17"/>
        </w:rPr>
        <w:t>Dada a localização litorânea de Vitória/ES, o gradil sofre com a agressividade da maresia. O serviço exige lixamento e raspagem completa de pontos de oxidação, aplicação de primer anticorrosivo (zarcão/epóxi) e demãos de esmalte sintético/poliuretano de alta durabilidade, requerendo controle de espessura de película seca.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Operacional, Proteção do Entorno Público e Segurança: </w:t>
      </w:r>
      <w:r>
        <w:rPr>
          <w:sz w:val="17"/>
        </w:rPr>
        <w:t>A pintura do gradil limítrofe a vias e passeios públicos exige isolamento de perímetro, telas de proteção contra respingos/névoa de tinta em veículos e pedestres, uso de EPIs adequados (máscaras para vapores orgânicos, NR-35 em trechos elevados) e coordenação de turmas para não obstruir os acessos ao prédio público.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exigências de proteção anticorrosiva em ambiente marinho e logística de entorno.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