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MEMORIAL DE JUSTIFICATIVA TÉCNICA E CÁLCULO DO BDI (25,00%)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E0E0E0"/>
                <w:sz w:val="17"/>
              </w:rPr>
              <w:t>Serviço: Pintura Externa do Edifício Sede MGI/ES, Estacionamento Princesa Isabel e Anexo da Vila Rubim | Vitória/ES | Regime Desonerado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1. OBJETO E MARCO REFERENCIAL (ACÓRDÃO TCU Nº 2.622/2013 – PLENÁRIO)</w:t>
      </w:r>
    </w:p>
    <w:p>
      <w:pPr>
        <w:spacing w:before="0" w:after="80" w:line="252" w:lineRule="auto"/>
        <w:jc w:val="both"/>
      </w:pPr>
      <w:r>
        <w:t>O presente memorial fundamenta a adoção da taxa de BDI de 25,00% (Desonerado) para os serviços de preparação de superfície, lavagem com hidrojateamento, tratamento de trincas/fissuras, recomposição de emboço/reboco, aplicação de fundo preparador/selador, pintura acrílica e texturizada de acabamento nas fachadas, muros e elementos externos do Edifício Sede MGI/ES, Estacionamento Princesa Isabel e Anexo da Vila Rubim em Vitória/ES. Conforme o Acórdão TCU nº 2.622/2013 (Reforma e Manutenção de Edifícios), a faixa referencial situa-se entre 20,34% (1º Quartil), 22,12% (Médio) e 25,00% (3º Quartil). Demonstra-se a seguir que a opção pelo limite superior (25,00%) decorre estritamente da alíquota tributária municipal local e da elevada complexidade logística, de segurança e de proteção contra maresia envolvida nas três frentes de serviço.</w:t>
      </w:r>
    </w:p>
    <w:p>
      <w:pPr>
        <w:spacing w:before="80" w:after="40"/>
      </w:pPr>
      <w:r>
        <w:rPr>
          <w:b/>
          <w:color w:val="1F4E78"/>
          <w:sz w:val="19"/>
        </w:rPr>
        <w:t>2. COMPOSIÇÃO ANALÍTICA DA TAXA DE BDI ADOTADA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1728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Item</w:t>
            </w:r>
          </w:p>
        </w:tc>
        <w:tc>
          <w:tcPr>
            <w:tcW w:type="dxa" w:w="331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Discriminativo do Parâmetro</w:t>
            </w:r>
          </w:p>
        </w:tc>
        <w:tc>
          <w:tcPr>
            <w:tcW w:type="dxa" w:w="115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Taxa (%)</w:t>
            </w:r>
          </w:p>
        </w:tc>
        <w:tc>
          <w:tcPr>
            <w:tcW w:type="dxa" w:w="2160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Faixa TCU (Acór. 2622/13)</w:t>
            </w:r>
          </w:p>
        </w:tc>
        <w:tc>
          <w:tcPr>
            <w:tcW w:type="dxa" w:w="187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Enquadramento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A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Administração Central (AC)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3,38%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3,00% - 4,00% - 5,50%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B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Riscos (R)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0,56% - 0,97% - 1,21%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C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Seguros e Garantias (S)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0,80% - 0,80% - 1,00%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D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Despesas Financeiras (DF)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0,49% - 0,59% - 1,39%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Dentro da Faixa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E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Lucro / Remuneração (L)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6,00%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6,16% - 7,40% - 8,96%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F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Impostos (I) - ISS 5% + PIS/COFINS/CPRB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10,45%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Variável Municipal/Fed.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Teto Municipal Vitória</w:t>
            </w:r>
          </w:p>
        </w:tc>
      </w:tr>
      <w:tr>
        <w:tc>
          <w:tcPr>
            <w:tcW w:type="dxa" w:w="1728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31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Fórmula TCU: [((1+AC+S+R)*(1+DF)*(1+L))/(1-I)] - 1</w:t>
            </w:r>
          </w:p>
        </w:tc>
        <w:tc>
          <w:tcPr>
            <w:tcW w:type="dxa" w:w="115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9C0006"/>
                <w:sz w:val="16"/>
              </w:rPr>
              <w:t>25,00%</w:t>
            </w:r>
          </w:p>
        </w:tc>
        <w:tc>
          <w:tcPr>
            <w:tcW w:type="dxa" w:w="2160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20,34% - 22,12% - 25,00%</w:t>
            </w:r>
          </w:p>
        </w:tc>
        <w:tc>
          <w:tcPr>
            <w:tcW w:type="dxa" w:w="187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3º Quartil (Limite)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3. FUNDAMENTAÇÃO TÉCNICA DA ADOÇÃO DO 3º QUARTIL (25,00%)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1 – Alíquota Máxima de ISS no Município de Vitória/ES (5,00%): </w:t>
      </w:r>
      <w:r>
        <w:rPr>
          <w:sz w:val="17"/>
        </w:rPr>
        <w:t>A mediana nacional do TCU considera ISS de 2% a 3%. O Município de Vitória aplica 5,00% (LC 60/2002) para serviços de conservação, restauração e pintura predial, elevando a carga tributária faturada (I) para 10,45% (ISS 5% + COFINS 3% + PIS 0,65% + CPRB 1,80%). Na fórmula [1/(1-I)], essa tributação local máxima desloca o BDI para 25,00%, mesmo com Lucro (6,00%) e Administração Central (3,38%) fixados abaixo da média e do 1º quartil do TCU.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2 – Atuação em Três Imóveis Distintos com Exposição à Maresia e Tratamento de Fachadas: </w:t>
      </w:r>
      <w:r>
        <w:rPr>
          <w:sz w:val="17"/>
        </w:rPr>
        <w:t>A execução abrange três imóveis federais na Ilha de Vitória/ES (Edifício Sede MGI/ES e Anexo, Estacionamento Princesa Isabel e Anexo Vila Rubim), sob ambiente marinho agressivo. Exige lavagem com hidrojateamento de alta pressão para remoção de sujidades e mofo, recuperação de fissuras com mastique elastomérico, tratamento anticorrosivo em armaduras e ferragens expostas, além de seladores e tintas acrílicas premium resistentes à névoa salina e radiação solar.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3 – Restrição Operacional, Trabalho em Altura (NR-35/NR-18) e Proteção de Prédios Públicos Ocupados: </w:t>
      </w:r>
      <w:r>
        <w:rPr>
          <w:sz w:val="17"/>
        </w:rPr>
        <w:t>A pintura de fachadas verticais de múltiplos pavimentos exige montagem de cadeiras suspensas (balancins) e andaimes tubulares, rigorosa observância à NR-35 e NR-18, além do envelopamento de fachadas com telas de proteção contra poluição por tintas. Por se tratar de edifícios em plena atividade administrativa e trânsito constante de servidores e público, o planejamento logístico e o isolamento de áreas exigem gestão e custos operacionais diferenciados.</w:t>
      </w:r>
    </w:p>
    <w:p>
      <w:pPr>
        <w:spacing w:before="80" w:after="40"/>
      </w:pPr>
      <w:r>
        <w:rPr>
          <w:b/>
          <w:color w:val="1F4E78"/>
          <w:sz w:val="19"/>
        </w:rPr>
        <w:t>4. CONCLUSÃO</w:t>
      </w:r>
    </w:p>
    <w:p>
      <w:pPr>
        <w:spacing w:before="0" w:after="120" w:line="252" w:lineRule="auto"/>
        <w:jc w:val="both"/>
      </w:pPr>
      <w:r>
        <w:t>A taxa de BDI de 25,00% é plenamente regular e justificável: encontra-se rigorosamente dentro dos limites legais do Acórdão TCU 2.622/2013, sendo impulsionada pela alíquota tributária de Vitória/ES (ISS 5%) e pela complexidade executiva e de segurança associada à pintura de fachada de três imóveis públicos federais em zona litorânea.</w:t>
      </w:r>
    </w:p>
    <w:p>
      <w:pPr>
        <w:spacing w:before="200" w:after="0"/>
        <w:jc w:val="center"/>
      </w:pPr>
      <w:r>
        <w:rPr>
          <w:sz w:val="16"/>
        </w:rPr>
        <w:t>____________________________________________________</w:t>
        <w:br/>
      </w:r>
      <w:r>
        <w:rPr>
          <w:b/>
          <w:sz w:val="17"/>
        </w:rPr>
        <w:t>Engenheiro Responsável Técnico – Orçamento de Obras</w:t>
        <w:br/>
      </w:r>
      <w:r>
        <w:rPr>
          <w:i/>
          <w:sz w:val="16"/>
        </w:rPr>
        <w:t>Central Orca | MGI/ES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