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B3A5C"/>
          <w:sz w:val="28"/>
        </w:rPr>
        <w:t>MINISTÉRIO DA GESTÃO E DA INOVAÇÃO EM SERVIÇOS PÚBLICOS</w:t>
      </w:r>
    </w:p>
    <w:p>
      <w:pPr>
        <w:spacing w:after="480"/>
        <w:jc w:val="center"/>
      </w:pPr>
      <w:r>
        <w:rPr>
          <w:rFonts w:ascii="Calibri" w:hAnsi="Calibri"/>
          <w:b/>
          <w:color w:val="2E5E8E"/>
          <w:sz w:val="24"/>
        </w:rPr>
        <w:t>SUPERINTENDÊNCIA DE ADMINISTRAÇÃO NO ESPÍRITO SANTO — SRAES</w:t>
      </w:r>
    </w:p>
    <w:p>
      <w:pPr>
        <w:jc w:val="center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/>
    <w:p/>
    <w:p>
      <w:pPr>
        <w:spacing w:after="160"/>
        <w:jc w:val="center"/>
      </w:pPr>
      <w:r>
        <w:rPr>
          <w:rFonts w:ascii="Calibri" w:hAnsi="Calibri"/>
          <w:b/>
          <w:color w:val="1B3A5C"/>
          <w:sz w:val="36"/>
        </w:rPr>
        <w:t>ESPECIFICAÇÃO TÉCNICA</w:t>
      </w:r>
    </w:p>
    <w:p>
      <w:pPr>
        <w:spacing w:after="160"/>
        <w:jc w:val="center"/>
      </w:pPr>
      <w:r>
        <w:rPr>
          <w:rFonts w:ascii="Calibri" w:hAnsi="Calibri"/>
          <w:b/>
          <w:color w:val="2E5E8E"/>
          <w:sz w:val="28"/>
        </w:rPr>
        <w:t>Serviços de Limpeza e Manutenção</w:t>
        <w:br/>
        <w:t>das Usinas Fotovoltaicas do MGI/ES</w:t>
      </w:r>
    </w:p>
    <w:p>
      <w:pPr>
        <w:spacing w:after="480"/>
        <w:jc w:val="center"/>
      </w:pPr>
      <w:r>
        <w:rPr>
          <w:rFonts w:ascii="Calibri" w:hAnsi="Calibri"/>
          <w:b w:val="0"/>
          <w:color w:val="333333"/>
          <w:sz w:val="24"/>
        </w:rPr>
        <w:t>Vitória/ES</w:t>
      </w:r>
    </w:p>
    <w:p/>
    <w:p/>
    <w:p/>
    <w:p>
      <w:pPr>
        <w:spacing w:after="80"/>
        <w:jc w:val="center"/>
      </w:pPr>
      <w:r>
        <w:rPr>
          <w:rFonts w:ascii="Calibri" w:hAnsi="Calibri"/>
          <w:b w:val="0"/>
          <w:color w:val="333333"/>
          <w:sz w:val="24"/>
        </w:rPr>
        <w:t>Maio de 2026</w:t>
      </w:r>
    </w:p>
    <w:p>
      <w:pPr>
        <w:spacing w:after="120"/>
        <w:jc w:val="center"/>
      </w:pPr>
      <w:r>
        <w:rPr>
          <w:rFonts w:ascii="Calibri" w:hAnsi="Calibri"/>
          <w:b/>
          <w:color w:val="2E5E8E"/>
          <w:sz w:val="22"/>
        </w:rPr>
        <w:t>Setor de Engenharia — SRAES/MGI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1. OBJETO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Contratação de empresa de engenharia especializada para a execução dos serviços de limpeza e manutenção preventiva (O&amp;M) dos painéis solares das usinas fotovoltaicas instaladas nas coberturas do Edifício Sede e do Anexo Vila Rubim do Ministério da Gestão e da Inovação em Serviços Públicos (MGI), em Vitória/ES.</w:t>
      </w:r>
    </w:p>
    <w:p>
      <w:pPr>
        <w:spacing w:after="200"/>
      </w:pPr>
      <w:r>
        <w:rPr>
          <w:rFonts w:ascii="Calibri" w:hAnsi="Calibri"/>
          <w:b w:val="0"/>
          <w:color w:val="333333"/>
          <w:sz w:val="22"/>
        </w:rPr>
        <w:t>Além da limpeza especializada de 561 módulos fotovoltaicos, o escopo abrange os serviços de engenharia referentes à emissão de Parecer Técnico de Unidade Geradora (UG) e elaboração de Laudo Técnico com registro fotográfico pormenorizado.</w:t>
      </w:r>
    </w:p>
    <w:p>
      <w:pPr>
        <w:pStyle w:val="Heading1"/>
      </w:pPr>
      <w:r>
        <w:rPr>
          <w:rFonts w:ascii="Calibri" w:hAnsi="Calibri"/>
          <w:color w:val="1B3A5C"/>
        </w:rPr>
        <w:t>2. DADOS DAS USINAS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Localização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Edifício Sede MGI/ES e Anexo Vila Rubim — Vitória/ES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Arranjo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Painéis instalados sobre estruturas fixas nas coberturas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Módulos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561 módulos fotovoltaicos no total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Status UG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Unidades Geradoras ativas (Resolução ANEEL 1.059/2023)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3. ESCOPO TÉCNICO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execução dos serviços obedecerá rigorosamente às seguintes diretrizes técnicas:</w:t>
      </w:r>
    </w:p>
    <w:p>
      <w:pPr>
        <w:pStyle w:val="Heading2"/>
      </w:pPr>
      <w:r>
        <w:rPr>
          <w:rFonts w:ascii="Calibri" w:hAnsi="Calibri"/>
          <w:color w:val="1B3A5C"/>
        </w:rPr>
        <w:t>3.1. Limpeza dos Módulos Fotovoltaicos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Lavagem nos períodos de menor incidência solar (manhã/tarde) evitando choque térmico;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Uso exclusivo de água tratada/desmineralizada e escovas macias ou panos técnicos;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Proibido o uso de jatos de altíssima pressão, solventes, abrasivos ou materiais rígidos;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Remoção total de incrustações, fezes de pássaros e poeira.</w:t>
      </w:r>
    </w:p>
    <w:p>
      <w:pPr>
        <w:pStyle w:val="Heading2"/>
      </w:pPr>
      <w:r>
        <w:rPr>
          <w:rFonts w:ascii="Calibri" w:hAnsi="Calibri"/>
          <w:color w:val="1B3A5C"/>
        </w:rPr>
        <w:t>3.2. Elaboração de Parecer Técnico de Unidade Geradora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Inspeção dos inversores, string boxes, aterramento e cabeamento;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Emissão de Parecer Técnico formal com conclusões rastreáveis;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Citação da UG (nº na concessionária e ANEEL) e conformidade normativa.</w:t>
      </w:r>
    </w:p>
    <w:p>
      <w:pPr>
        <w:pStyle w:val="Heading2"/>
      </w:pPr>
      <w:r>
        <w:rPr>
          <w:rFonts w:ascii="Calibri" w:hAnsi="Calibri"/>
          <w:color w:val="1B3A5C"/>
        </w:rPr>
        <w:t>3.3. Laudo Técnico e Registro Fotográfico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Laudo Técnico consolidado das condições mecânicas e elétricas;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Levantamento fotográfico: mínimo de 1 (uma) foto de alta resolução para cada string;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Fotografias com marcação de data, horário e coordenadas (GPS);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Registro de anomalias (trincas, hot spots, oxidação).</w:t>
      </w:r>
    </w:p>
    <w:p>
      <w:pPr>
        <w:pStyle w:val="Heading1"/>
      </w:pPr>
      <w:r>
        <w:rPr>
          <w:rFonts w:ascii="Calibri" w:hAnsi="Calibri"/>
          <w:color w:val="1B3A5C"/>
        </w:rPr>
        <w:t>4. NORMAS TÉCNICAS E LEGISLAÇÃO APLICÁVEL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Norma / Legislação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16690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Instalações elétricas FV — Requisitos de projeto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16274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Sistemas FV conectados à rede — Documentação e ensaios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5410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Instalações elétricas de baixa tensão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Res. ANEEL 1.059/23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Micro e Minigeração Distribuída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NR-10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Segurança em Eletricidade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NR-35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Trabalho em Altura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5. SEGURANÇA DO TRABALHO (NR-10 E NR-35)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Risco Elétrico (NR-10): Trabalhos próximos a cabos CC energizados. Proibido desconectar conectores MC4 com sistema em carga. Risco de arco elétrico;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Trabalho em Altura (NR-35): Uso obrigatório de cinto de segurança ancorado em linhas de vida. Equipe com NR-35 ativa e ASO para altura;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EPIs obrigatórios: Capacete com jugular, óculos de sol/proteção, luvas isolantes, calçado antiderrapante e protetor solar.</w:t>
      </w:r>
    </w:p>
    <w:p>
      <w:pPr>
        <w:pStyle w:val="Heading1"/>
      </w:pPr>
      <w:r>
        <w:rPr>
          <w:rFonts w:ascii="Calibri" w:hAnsi="Calibri"/>
          <w:color w:val="1B3A5C"/>
        </w:rPr>
        <w:t>6. QUALIFICAÇÃO TÉCNICA EXIGIDA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Registro ativo no CREA;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Atestado(s) de capacidade técnica comprovando O&amp;M ou limpeza de usinas fotovoltaicas;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Comprovação de treinamento NR-10 e NR-35.</w:t>
      </w:r>
    </w:p>
    <w:p>
      <w:pPr>
        <w:pStyle w:val="Heading1"/>
      </w:pPr>
      <w:r>
        <w:rPr>
          <w:rFonts w:ascii="Calibri" w:hAnsi="Calibri"/>
          <w:color w:val="1B3A5C"/>
        </w:rPr>
        <w:t>7. OBRIGAÇÕES DA CONTRATADA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Fornecer todo o ferramental (escovas, rodos, mangueiras), EPIs, água e mão de obra;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Emitir ART (CREA) dos serviços de engenharia (Parecer e Laudo) e manutenção FV;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Assumir responsabilidade civil por danos à cobertura ou quebra de módulos (proibido pisar nos painéis);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Entregar o Parecer, Laudo e ART digitalmente em até 15 dias após o serviço.</w:t>
      </w:r>
    </w:p>
    <w:p>
      <w:pPr>
        <w:pStyle w:val="Heading1"/>
      </w:pPr>
      <w:r>
        <w:rPr>
          <w:rFonts w:ascii="Calibri" w:hAnsi="Calibri"/>
          <w:color w:val="1B3A5C"/>
        </w:rPr>
        <w:t>8. OBRIGAÇÕES DA CONTRATANTE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Garantir livre acesso das equipes às coberturas;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Disponibilizar pontos de captação de água potável próximos à cobertura;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Designar fiscalização técnica para acompanhamento e recebimento dos documentos.</w:t>
      </w:r>
    </w:p>
    <w:p/>
    <w:p/>
    <w:p>
      <w:pPr>
        <w:spacing w:after="600"/>
        <w:jc w:val="center"/>
      </w:pPr>
      <w:r>
        <w:rPr>
          <w:rFonts w:ascii="Calibri" w:hAnsi="Calibri"/>
          <w:b w:val="0"/>
          <w:color w:val="333333"/>
          <w:sz w:val="22"/>
        </w:rPr>
        <w:t>Vitória/ES, maio de 2026.</w:t>
      </w:r>
    </w:p>
    <w:p/>
    <w:p/>
    <w:p>
      <w:pPr>
        <w:jc w:val="center"/>
      </w:pPr>
      <w:r>
        <w:rPr>
          <w:color w:val="333333"/>
          <w:sz w:val="20"/>
        </w:rPr>
        <w:t>__________________________________________________</w:t>
      </w:r>
    </w:p>
    <w:p>
      <w:pPr>
        <w:spacing w:after="40"/>
        <w:jc w:val="center"/>
      </w:pPr>
      <w:r>
        <w:rPr>
          <w:rFonts w:ascii="Calibri" w:hAnsi="Calibri"/>
          <w:b/>
          <w:color w:val="333333"/>
          <w:sz w:val="22"/>
        </w:rPr>
        <w:t>Luis Fernando</w:t>
      </w:r>
    </w:p>
    <w:p>
      <w:pPr>
        <w:spacing w:after="120"/>
        <w:jc w:val="center"/>
      </w:pPr>
      <w:r>
        <w:rPr>
          <w:rFonts w:ascii="Calibri" w:hAnsi="Calibri"/>
          <w:b w:val="0"/>
          <w:color w:val="333333"/>
          <w:sz w:val="20"/>
        </w:rPr>
        <w:t>Setor de Engenharia — SRAES/MGI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