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Calibri" w:hAnsi="Calibri"/>
          <w:b/>
          <w:color w:val="1B3A5C"/>
          <w:sz w:val="28"/>
        </w:rPr>
        <w:t>MINISTÉRIO DA GESTÃO E DA INOVAÇÃO EM SERVIÇOS PÚBLICOS</w:t>
      </w:r>
    </w:p>
    <w:p>
      <w:pPr>
        <w:spacing w:after="480"/>
        <w:jc w:val="center"/>
      </w:pPr>
      <w:r>
        <w:rPr>
          <w:rFonts w:ascii="Calibri" w:hAnsi="Calibri"/>
          <w:b/>
          <w:color w:val="2E5E8E"/>
          <w:sz w:val="24"/>
        </w:rPr>
        <w:t>SUPERINTENDÊNCIA DE ADMINISTRAÇÃO NO ESPÍRITO SANTO — SRAES</w:t>
      </w:r>
    </w:p>
    <w:p>
      <w:pPr>
        <w:jc w:val="center"/>
      </w:pPr>
      <w:r>
        <w:rPr>
          <w:color w:val="1B3A5C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/>
    <w:p/>
    <w:p>
      <w:pPr>
        <w:spacing w:after="160"/>
        <w:jc w:val="center"/>
      </w:pPr>
      <w:r>
        <w:rPr>
          <w:rFonts w:ascii="Calibri" w:hAnsi="Calibri"/>
          <w:b/>
          <w:color w:val="1B3A5C"/>
          <w:sz w:val="36"/>
        </w:rPr>
        <w:t>ESPECIFICAÇÃO TÉCNICA</w:t>
      </w:r>
    </w:p>
    <w:p>
      <w:pPr>
        <w:spacing w:after="160"/>
        <w:jc w:val="center"/>
      </w:pPr>
      <w:r>
        <w:rPr>
          <w:rFonts w:ascii="Calibri" w:hAnsi="Calibri"/>
          <w:b/>
          <w:color w:val="2E5E8E"/>
          <w:sz w:val="28"/>
        </w:rPr>
        <w:t>Manutenção Preventiva e Corretiva do Grupo Gerador</w:t>
        <w:br/>
        <w:t>e da Subestação Elétrica</w:t>
      </w:r>
    </w:p>
    <w:p>
      <w:pPr>
        <w:spacing w:after="480"/>
        <w:jc w:val="center"/>
      </w:pPr>
      <w:r>
        <w:rPr>
          <w:rFonts w:ascii="Calibri" w:hAnsi="Calibri"/>
          <w:b w:val="0"/>
          <w:color w:val="333333"/>
          <w:sz w:val="24"/>
        </w:rPr>
        <w:t>Edifício Sede MGI — Vitória/ES</w:t>
      </w:r>
    </w:p>
    <w:p/>
    <w:p/>
    <w:p/>
    <w:p>
      <w:pPr>
        <w:spacing w:after="80"/>
        <w:jc w:val="center"/>
      </w:pPr>
      <w:r>
        <w:rPr>
          <w:rFonts w:ascii="Calibri" w:hAnsi="Calibri"/>
          <w:b w:val="0"/>
          <w:color w:val="333333"/>
          <w:sz w:val="24"/>
        </w:rPr>
        <w:t>Maio de 2026</w:t>
      </w:r>
    </w:p>
    <w:p>
      <w:pPr>
        <w:spacing w:after="120"/>
        <w:jc w:val="center"/>
      </w:pPr>
      <w:r>
        <w:rPr>
          <w:rFonts w:ascii="Calibri" w:hAnsi="Calibri"/>
          <w:b/>
          <w:color w:val="2E5E8E"/>
          <w:sz w:val="22"/>
        </w:rPr>
        <w:t>Setor de Engenharia — SRAES/MGI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3A5C"/>
        </w:rPr>
        <w:t>1. OBJETO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O presente documento estabelece as diretrizes, normas técnicas e condições exigidas para a contratação dos serviços de Manutenção Preventiva e Corretiva do Grupo Motor Gerador e da Subestação Elétrica do Edifício Sede do Ministério da Gestão e da Inovação em Serviços Públicos (MGI), localizado em Vitória/ES.</w:t>
      </w:r>
    </w:p>
    <w:p>
      <w:pPr>
        <w:spacing w:after="200"/>
      </w:pPr>
      <w:r>
        <w:rPr>
          <w:rFonts w:ascii="Calibri" w:hAnsi="Calibri"/>
          <w:b w:val="0"/>
          <w:color w:val="333333"/>
          <w:sz w:val="22"/>
        </w:rPr>
        <w:t>A contratação abrange dois escopos complementares e interdependentes, visando garantir a continuidade operacional, a segurança das instalações elétricas e o cumprimento das normas regulamentadoras aplicáveis.</w:t>
      </w:r>
    </w:p>
    <w:p>
      <w:pPr>
        <w:pStyle w:val="Heading1"/>
      </w:pPr>
      <w:r>
        <w:rPr>
          <w:rFonts w:ascii="Calibri" w:hAnsi="Calibri"/>
          <w:color w:val="1B3A5C"/>
        </w:rPr>
        <w:t>2. DADOS DA EDIFICAÇÃO E EQUIPAMENTOS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Parâmetro</w:t>
            </w:r>
          </w:p>
        </w:tc>
        <w:tc>
          <w:tcPr>
            <w:tcW w:type="dxa" w:w="6803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Edificação</w:t>
            </w:r>
          </w:p>
        </w:tc>
        <w:tc>
          <w:tcPr>
            <w:tcW w:type="dxa" w:w="6803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Edifício Sede MGI/ES — Vitória/ES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Endereço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Rua Pietrangelo de Biase, 56 — Centro, Vitória/ES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Pavimentos</w:t>
            </w:r>
          </w:p>
        </w:tc>
        <w:tc>
          <w:tcPr>
            <w:tcW w:type="dxa" w:w="6803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Subsolo + Térreo + 10 Pavimentos-tipo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Grupo Gerador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Motor Scania / Alternador WEG — Diesel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Subestação</w:t>
            </w:r>
          </w:p>
        </w:tc>
        <w:tc>
          <w:tcPr>
            <w:tcW w:type="dxa" w:w="6803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Abrigada, classe 15 kV, com 2 transformadores a seco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Chave Seccionadora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15 kV — operação manual/motorizada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Banco de Capacitores</w:t>
            </w:r>
          </w:p>
        </w:tc>
        <w:tc>
          <w:tcPr>
            <w:tcW w:type="dxa" w:w="6803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Correção de fator de potência — automático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QGBT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Quadro Geral de Baixa Tensão da subestação</w:t>
            </w:r>
          </w:p>
        </w:tc>
      </w:tr>
      <w:tr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QGBD</w:t>
            </w:r>
          </w:p>
        </w:tc>
        <w:tc>
          <w:tcPr>
            <w:tcW w:type="dxa" w:w="6803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Quadro de Transferência de Carga (comutação rede/gerador)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Alimentação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Concessionária EDP Espírito Santo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3. ESCOPO TÉCNICO — PARTE A: GRUPO GERADOR</w:t>
      </w:r>
    </w:p>
    <w:p>
      <w:pPr>
        <w:spacing w:after="160"/>
      </w:pPr>
      <w:r>
        <w:rPr>
          <w:rFonts w:ascii="Calibri" w:hAnsi="Calibri"/>
          <w:b w:val="0"/>
          <w:color w:val="333333"/>
          <w:sz w:val="22"/>
        </w:rPr>
        <w:t>Os serviços relativos ao Grupo Gerador dividem-se em quatro frentes principais, conforme itens 1.0 e 2.0 da Planilha Orçamentária:</w:t>
      </w:r>
    </w:p>
    <w:p>
      <w:pPr>
        <w:pStyle w:val="Heading2"/>
      </w:pPr>
      <w:r>
        <w:rPr>
          <w:rFonts w:ascii="Calibri" w:hAnsi="Calibri"/>
          <w:color w:val="1B3A5C"/>
        </w:rPr>
        <w:t>3.1. Manutenção Preventiva (SRAES-GER-001)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A contratada deverá realizar a manutenção preventiva programada do equipamento, que inclui, mas não se limita a: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Limpeza superficial do motor, alternador, radiador e painel de comando, removendo poeira, óleo acumulado e detritos com pano limpo e solvente dielétrico;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Reaperto geral de conexões elétricas (bornes de bateria, cabos de força, barramentos do alternador) e mecânicas (parafusos de fixação, suportes de coxins antivibratórios, mangueiras do sistema de arrefecimento e combustível);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Verificação do nível e estado do eletrólito das baterias, tensão de flutuação do carregador automático e funcionamento do sistema de pré-aquecimento do bloco (resistência elétrica de aquecimento da água);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Inspeção visual das correias do alternador de carga, verificando tensão, desgaste e alinhamento das polias;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Verificação do nível de combustível no tanque diário e integridade das linhas de alimentação e retorno (mangueiras, abraçadeiras e conexões);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Testes de funcionamento: acionamento a vazio (sem carga) por no mínimo 15 minutos, verificando pressão de óleo, temperatura da água, rotação (RPM) e tensão/frequência de saída do alternador;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Simulação de queda de rede com transferência de carga real, a ser agendada com a fiscalização com no mínimo 48h de antecedência para evitar interrupções indevidas, verificando tempo de partida, estabilização de tensão/frequência e retorno automático à rede concessionária.</w:t>
      </w:r>
    </w:p>
    <w:p>
      <w:pPr>
        <w:pStyle w:val="Heading2"/>
      </w:pPr>
      <w:r>
        <w:rPr>
          <w:rFonts w:ascii="Calibri" w:hAnsi="Calibri"/>
          <w:color w:val="1B3A5C"/>
        </w:rPr>
        <w:t>3.2. Manutenção Corretiva Agendada — Troca de Peças e Fluidos (SRAES-GER-002)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Fornecimento e substituição técnica dos consumíveis, utilizando peças genuínas ou de primeira linha (padrão Scania/WEG):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Drenagem completa do cárter, descarte ecológico do óleo usado conforme Resolução CONAMA 362/2005 (certificado de destinação final) e substituição por 36 litros de óleo lubrificante mineral 15W40 (especificação Scania LDF-3);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Drenagem do sistema de arrefecimento, limpeza interna do circuito com flush químico (remoção de depósitos e incrustações) e substituição por 38 litros de aditivo de arrefecimento orgânico (OAT) pronto para uso;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Substituição do filtro de ar primário (elemento filtrante padrão Scania), com verificação do indicador de restrição e limpeza do corpo do filtro;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Substituição do kit de filtros de óleo lubrificante e combustível (pré-filtro separador de água, filtro fino de combustível e filtro de óleo), todos padrão OEM ou equivalente homologado;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Substituição do jogo de reparos (anéis o-rings, borrachas de vedação e juntas) dos tampões de drenagem e conexões hidráulicas;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Aplicação de tratamento químico no sistema de injeção e lubrificação, utilizando aditivos de conservação e limpeza homologados (ex.: linha TUNAP 957 para injeção, 985 para lubrificação e 989 para arrefecimento, ou equivalente técnico comprovado).</w:t>
      </w:r>
    </w:p>
    <w:p>
      <w:pPr>
        <w:pStyle w:val="Heading2"/>
      </w:pPr>
      <w:r>
        <w:rPr>
          <w:rFonts w:ascii="Calibri" w:hAnsi="Calibri"/>
          <w:color w:val="1B3A5C"/>
        </w:rPr>
        <w:t>3.3. Teste de Resistência de Isolação — Megagem (SRAES-GER-003)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A contratada deverá realizar teste especializado de resistência de isolação (Megagem) nas bobinas da unidade geradora (alternador):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 ensaio visa identificar possíveis fugas de corrente, degradação da isolação interna dos enrolamentos (fase-fase e fase-terra) e riscos de curto-circuito incipiente;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Deverá ser utilizado megôhmetro digital com capacidade mínima de 1.000 V DC, com certificado de calibração vigente emitido por laboratório acreditado pelo INMETRO (RBC);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 medição deverá ser realizada com o alternador desconectado do barramento, registrando os valores de resistência de isolamento (em MΩ) para cada enrolamento, temperatura ambiente e índice de polarização (IP);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Os resultados deverão ser comparados com os valores mínimos admissíveis conforme NBR 5383 e registrados em formulário próprio, que integrará o laudo técnico final.</w:t>
      </w:r>
    </w:p>
    <w:p>
      <w:pPr>
        <w:pStyle w:val="Heading2"/>
      </w:pPr>
      <w:r>
        <w:rPr>
          <w:rFonts w:ascii="Calibri" w:hAnsi="Calibri"/>
          <w:color w:val="1B3A5C"/>
        </w:rPr>
        <w:t>3.4. Laudo Técnico e Plano de Manutenção (SRAES-GER-004)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Após a conclusão de todas as intervenções mecânicas, elétricas e ensaios (incluindo a megagem), o engenheiro responsável da contratada deverá emitir um Laudo Técnico Situacional contendo: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Atestado da plena operacionalidade do equipamento, com registro dos parâmetros de funcionamento medidos (pressão de óleo, temperatura, tensão, frequência, corrente de carga e RPM);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Registro fotográfico completo (antes/durante/depois) de todos os componentes inspecionados e serviços executados;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Capítulo específico apontando a próxima manutenção preventiva requerida, incluindo cronograma sugerido de trocas futuras (filtros, óleo, aditivo, correias, baterias), com base nas horas de operação e tempo calendário;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Anotação de Responsabilidade Técnica (ART) junto ao CREA/ES, atestando os serviços de engenharia mecânica e/ou elétrica executados.</w:t>
      </w:r>
    </w:p>
    <w:p>
      <w:pPr>
        <w:pStyle w:val="Heading2"/>
      </w:pPr>
      <w:r>
        <w:rPr>
          <w:rFonts w:ascii="Calibri" w:hAnsi="Calibri"/>
          <w:color w:val="1B3A5C"/>
        </w:rPr>
        <w:t>3.5. Peças, Fluidos e Insumos (Itens 2.1 a 2.6)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A contratada deverá fornecer os seguintes materiais, todos com nota fiscal e certificado de qualidade/homologação: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669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Unid</w:t>
            </w:r>
          </w:p>
        </w:tc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Quant</w:t>
            </w:r>
          </w:p>
        </w:tc>
      </w:tr>
      <w:tr>
        <w:tc>
          <w:tcPr>
            <w:tcW w:type="dxa" w:w="850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2.1</w:t>
            </w:r>
          </w:p>
        </w:tc>
        <w:tc>
          <w:tcPr>
            <w:tcW w:type="dxa" w:w="5669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Kit de Filtros de Óleo e Combustível (padrão OEM Scania)</w:t>
            </w:r>
          </w:p>
        </w:tc>
        <w:tc>
          <w:tcPr>
            <w:tcW w:type="dxa" w:w="850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un</w:t>
            </w:r>
          </w:p>
        </w:tc>
        <w:tc>
          <w:tcPr>
            <w:tcW w:type="dxa" w:w="850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2.2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Filtro de Ar Primário (Padrão Scania)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</w:tr>
      <w:tr>
        <w:tc>
          <w:tcPr>
            <w:tcW w:type="dxa" w:w="850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2.3</w:t>
            </w:r>
          </w:p>
        </w:tc>
        <w:tc>
          <w:tcPr>
            <w:tcW w:type="dxa" w:w="5669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Jogo de Reparos (Borrachas, O-rings e Juntas)</w:t>
            </w:r>
          </w:p>
        </w:tc>
        <w:tc>
          <w:tcPr>
            <w:tcW w:type="dxa" w:w="850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un</w:t>
            </w:r>
          </w:p>
        </w:tc>
        <w:tc>
          <w:tcPr>
            <w:tcW w:type="dxa" w:w="850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2.4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Óleo Lubrificante Mineral 15W40 (Scania LDF-3)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36</w:t>
            </w:r>
          </w:p>
        </w:tc>
      </w:tr>
      <w:tr>
        <w:tc>
          <w:tcPr>
            <w:tcW w:type="dxa" w:w="850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2.5</w:t>
            </w:r>
          </w:p>
        </w:tc>
        <w:tc>
          <w:tcPr>
            <w:tcW w:type="dxa" w:w="5669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Aditivo de Arrefecimento OAT (pronto para uso)</w:t>
            </w:r>
          </w:p>
        </w:tc>
        <w:tc>
          <w:tcPr>
            <w:tcW w:type="dxa" w:w="850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</w:t>
            </w:r>
          </w:p>
        </w:tc>
        <w:tc>
          <w:tcPr>
            <w:tcW w:type="dxa" w:w="850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38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2.6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Kit de Limpeza Química — Linha TUNAP ou equivalente técnico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un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4. ESCOPO TÉCNICO — PARTE B: SUBESTAÇÃO ELÉTRICA</w:t>
      </w:r>
    </w:p>
    <w:p>
      <w:pPr>
        <w:spacing w:after="160"/>
      </w:pPr>
      <w:r>
        <w:rPr>
          <w:rFonts w:ascii="Calibri" w:hAnsi="Calibri"/>
          <w:b w:val="0"/>
          <w:color w:val="333333"/>
          <w:sz w:val="22"/>
        </w:rPr>
        <w:t>Os serviços relativos à Subestação Elétrica dividem-se conforme os itens 3.0 e 4.0 da Planilha Orçamentária. A proposta de referência técnica foi a da empresa ECOCEL Comércio e Serviços Ltda (PR 052601-26-REV00).</w:t>
      </w:r>
    </w:p>
    <w:p>
      <w:pPr>
        <w:pStyle w:val="Heading2"/>
      </w:pPr>
      <w:r>
        <w:rPr>
          <w:rFonts w:ascii="Calibri" w:hAnsi="Calibri"/>
          <w:color w:val="1B3A5C"/>
        </w:rPr>
        <w:t>4.1. Chave Seccionadora 15 kV (SRAES-SUB-001)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A contratada deverá executar os seguintes serviços na chave seccionadora de 15 kV: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Realizar limpeza geral, desoxidação e reaperto de todas as conexões elétricas (terminais, barramentos e cabos de alimentação);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Realizar inspeção visual detalhada dos isoladores (verificação de trincas, carbonização, deposição de sujeira, trilhamento elétrico e integridade mecânica);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Efetuar ensaio de resistência de isolamento (Megger) com megôhmetro calibrado, tensão de teste conforme classe do equipamento (15 kV), registrando valores em MΩ para cada polo;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Verificar folga dos contatos fixos e móveis, articulações e mecanismo de acionamento das chaves (manual e/ou motorizado);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Realizar teste mecânico de operação (abertura/fechamento completo), verificação do intertravamento de segurança e reaperto dos elementos de fixação das chaves em alvenaria/concreto.</w:t>
      </w:r>
    </w:p>
    <w:p>
      <w:pPr>
        <w:pStyle w:val="Heading2"/>
      </w:pPr>
      <w:r>
        <w:rPr>
          <w:rFonts w:ascii="Calibri" w:hAnsi="Calibri"/>
          <w:color w:val="1B3A5C"/>
        </w:rPr>
        <w:t>4.2. Transformadores a Seco — 2 unidades (SRAES-SUB-002)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Para cada uma das 2 (duas) unidades de transformador a seco, a contratada deverá: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Realizar limpeza a seco (aspiração industrial antiestática, pincéis isolantes e panos de microfibra secos) e inspeção visual detalhada: verificação de fissuras, trincas e perfurações no isolamento de resina epóxi, oxidação de partes metálicas, estado das conexões e aterramento;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Conferir e executar reaperto das buchas de isolamento de alta e baixa tensão, espaçadores do entreferro e suportes/grampos das bobinas, utilizando torquímetro isolado com valores de torque conforme especificação do fabricante;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Realizar inspeção e limpeza dos isoladores de passagem (bushings), acessórios de proteção (para-raios, fusíveis, TCs/TPs se houver) e reaperto de todas as conexões de AT e BT.</w:t>
      </w:r>
    </w:p>
    <w:p>
      <w:pPr>
        <w:spacing w:after="160"/>
      </w:pPr>
      <w:r>
        <w:rPr>
          <w:rFonts w:ascii="Calibri" w:hAnsi="Calibri"/>
          <w:b/>
          <w:color w:val="C0392B"/>
          <w:sz w:val="20"/>
        </w:rPr>
        <w:t>IMPORTANTE: Transformadores a seco NÃO admitem solventes líquidos para limpeza. Utilizar exclusivamente métodos a seco conforme NBR 10295.</w:t>
      </w:r>
    </w:p>
    <w:p>
      <w:pPr>
        <w:pStyle w:val="Heading2"/>
      </w:pPr>
      <w:r>
        <w:rPr>
          <w:rFonts w:ascii="Calibri" w:hAnsi="Calibri"/>
          <w:color w:val="1B3A5C"/>
        </w:rPr>
        <w:t>4.3. Banco de Capacitores (SRAES-SUB-003)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A contratada deverá executar os seguintes serviços no banco de capacitores: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Realizar inspeção visual completa e efetuar limpeza geral do quadro (remoção de poeira acumulada, verificação de ventilação e estado geral dos componentes);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Lubrificar mecanismos e reapertar todas as conexões elétricas internas (barramentos, terminais dos capacitores, contatores e disjuntores);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Verificar continuidade e integridade do aterramento do quadro;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Inspecionar visualmente cada capacitor individualmente (deformação, vazamento de óleo/dielétrico, descoloração), cabos e componentes de manobra (contatores, fusíveis, relés);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Medir corrente de cada estágio de capacitores com alicate amperímetro true-RMS calibrado, comparando com valores nominais;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Testar sequência de chaveamento automático dos estágios (liga/desliga) e conferir parametrização do controlador automático de fator de potência (setpoints, tempo de comutação, modo de operação).</w:t>
      </w:r>
    </w:p>
    <w:p>
      <w:pPr>
        <w:pStyle w:val="Heading2"/>
      </w:pPr>
      <w:r>
        <w:rPr>
          <w:rFonts w:ascii="Calibri" w:hAnsi="Calibri"/>
          <w:color w:val="1B3A5C"/>
        </w:rPr>
        <w:t>4.4. QGBT e QGBD — Quadro de Transferência de Carga (SRAES-SUB-004)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A contratada deverá executar a manutenção preventiva em dois quadros elétricos:</w:t>
      </w:r>
    </w:p>
    <w:p>
      <w:pPr>
        <w:pStyle w:val="ListBullet"/>
      </w:pPr>
      <w:r>
        <w:rPr>
          <w:rFonts w:ascii="Calibri" w:hAnsi="Calibri"/>
          <w:b/>
          <w:color w:val="333333"/>
          <w:sz w:val="22"/>
        </w:rPr>
        <w:t xml:space="preserve">QGBT — </w:t>
      </w:r>
      <w:r>
        <w:rPr>
          <w:rFonts w:ascii="Calibri" w:hAnsi="Calibri"/>
          <w:color w:val="333333"/>
          <w:sz w:val="22"/>
        </w:rPr>
        <w:t>Quadro Geral de Baixa Tensão da subestação — distribuição geral de energia do edifício.</w:t>
      </w:r>
    </w:p>
    <w:p>
      <w:pPr>
        <w:pStyle w:val="ListBullet"/>
      </w:pPr>
      <w:r>
        <w:rPr>
          <w:rFonts w:ascii="Calibri" w:hAnsi="Calibri"/>
          <w:b/>
          <w:color w:val="333333"/>
          <w:sz w:val="22"/>
        </w:rPr>
        <w:t xml:space="preserve">QGBD — </w:t>
      </w:r>
      <w:r>
        <w:rPr>
          <w:rFonts w:ascii="Calibri" w:hAnsi="Calibri"/>
          <w:color w:val="333333"/>
          <w:sz w:val="22"/>
        </w:rPr>
        <w:t>Quadro de Transferência de Carga do Grupo Gerador — painel de comutação automática rede/gerador, responsável pela transferência da alimentação elétrica quando há falha na concessionária (EDP).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Para ambos os quadros, os serviços incluem: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Inspeção visual completa (estado dos barramentos, cabos, disjuntores, contatores, relés de proteção, bornes e identificação dos circuitos);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Limpeza geral interna e externa (aspiração, remoção de poeira, verificação de vedação das portas e filtros de ventilação);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Lubrificação dos mecanismos de acionamento e reaperto de todas as conexões com torquímetro isolado;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Verificação de continuidade e integridade do aterramento de cada quadro;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No QGBD: teste funcional completo da comutação automática rede/gerador, verificação dos contatores de transferência, relés de subtensão/sobretensão, temporização de partida do gerador e retorno à rede, e funcionamento do intertravamento mecânico e elétrico.</w:t>
      </w:r>
    </w:p>
    <w:p>
      <w:pPr>
        <w:pStyle w:val="Heading2"/>
      </w:pPr>
      <w:r>
        <w:rPr>
          <w:rFonts w:ascii="Calibri" w:hAnsi="Calibri"/>
          <w:color w:val="1B3A5C"/>
        </w:rPr>
        <w:t>4.5. Aterramento do Abrigo (SRAES-SUB-005)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A contratada deverá: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Verificar a continuidade elétrica das malhas de aterramento do abrigo da subestação, incluindo conexões aparentes (soldas exotérmicas, conectores mecânicos e barras de equalização);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Realizar medição da resistência de terra com terrômetro digital calibrado (método de queda de potencial — 3 pontos), registrando os valores em Ω e comparando com o limite máximo de 10 Ω (NBR 5410/NBR 15749);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Emitir parecer técnico sobre a conformidade da malha de aterramento, indicando eventuais necessidades de manutenção corretiva (recravação de hastes, refazimento de soldas, complementação de malha).</w:t>
      </w:r>
    </w:p>
    <w:p>
      <w:pPr>
        <w:pStyle w:val="Heading2"/>
      </w:pPr>
      <w:r>
        <w:rPr>
          <w:rFonts w:ascii="Calibri" w:hAnsi="Calibri"/>
          <w:color w:val="1B3A5C"/>
        </w:rPr>
        <w:t>4.6. Documentação Técnica — ART e Relatório (SRAES-SUB-006)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A contratada deverá emitir a seguinte documentação técnica relativa à subestação: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ART (Anotação de Responsabilidade Técnica) de manutenção preventiva junto ao CREA/ES, em nome do engenheiro eletricista responsável técnico, abrangendo todos os serviços executados na subestação;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Relatório técnico completo com registro fotográfico de todos os equipamentos inspecionados (antes/durante/depois), incluindo identificação de cada ponto fotografado e descrição dos serviços realizados;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Laudo das condições operacionais da subestação, incluindo parecer conclusivo sobre o estado de cada equipamento, resultados dos ensaios (Megger, resistência de terra, medição de corrente) e recomendações para a próxima manutenção.</w:t>
      </w:r>
    </w:p>
    <w:p>
      <w:pPr>
        <w:pStyle w:val="Heading1"/>
      </w:pPr>
      <w:r>
        <w:rPr>
          <w:rFonts w:ascii="Calibri" w:hAnsi="Calibri"/>
          <w:color w:val="1B3A5C"/>
        </w:rPr>
        <w:t>5. EXCLUSÕES DO ESCOPO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Não fazem parte do presente escopo contratual os seguintes serviços: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Ensaios de simultaneidade e tempo de abertura/fechamento dos contatos dos disjuntores classe 15 kV;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Ensaios de bancada em laboratório (levantamento de características tempo × corrente/tensão, looping test dos relés de proteção);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Fornecimento de componentes não especificados que venham a apresentar estado de falha iminente durante a manutenção (serão objeto de aditivo contratual);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Obras civis, mecânicas e hidráulicas no abrigo da subestação ou sala do gerador;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Elaboração de projeto elétrico, as-built ou memorial de cálculo;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Fornecimento de técnico em segurança do trabalho (responsabilidade da contratada incluir na equipe).</w:t>
      </w:r>
    </w:p>
    <w:p>
      <w:pPr>
        <w:pStyle w:val="Heading1"/>
      </w:pPr>
      <w:r>
        <w:rPr>
          <w:rFonts w:ascii="Calibri" w:hAnsi="Calibri"/>
          <w:color w:val="1B3A5C"/>
        </w:rPr>
        <w:t>6. NORMAS E LEGISLAÇÃO APLICÁVEL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551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Norma/Legislação</w:t>
            </w:r>
          </w:p>
        </w:tc>
        <w:tc>
          <w:tcPr>
            <w:tcW w:type="dxa" w:w="6803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2551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NR-10</w:t>
            </w:r>
          </w:p>
        </w:tc>
        <w:tc>
          <w:tcPr>
            <w:tcW w:type="dxa" w:w="6803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Segurança em Instalações e Serviços em Eletricidade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NR-06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Equipamentos de Proteção Individual (EPI)</w:t>
            </w:r>
          </w:p>
        </w:tc>
      </w:tr>
      <w:tr>
        <w:tc>
          <w:tcPr>
            <w:tcW w:type="dxa" w:w="2551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NR-35</w:t>
            </w:r>
          </w:p>
        </w:tc>
        <w:tc>
          <w:tcPr>
            <w:tcW w:type="dxa" w:w="6803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Trabalho em Altura (quando aplicável)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NBR 14039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Instalações Elétricas de Média Tensão (1,0 kV a 36,2 kV)</w:t>
            </w:r>
          </w:p>
        </w:tc>
      </w:tr>
      <w:tr>
        <w:tc>
          <w:tcPr>
            <w:tcW w:type="dxa" w:w="2551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NBR 5410</w:t>
            </w:r>
          </w:p>
        </w:tc>
        <w:tc>
          <w:tcPr>
            <w:tcW w:type="dxa" w:w="6803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Instalações Elétricas de Baixa Tensão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NBR 5419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Proteção contra Descargas Atmosféricas (SPDA)</w:t>
            </w:r>
          </w:p>
        </w:tc>
      </w:tr>
      <w:tr>
        <w:tc>
          <w:tcPr>
            <w:tcW w:type="dxa" w:w="2551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NBR 5383</w:t>
            </w:r>
          </w:p>
        </w:tc>
        <w:tc>
          <w:tcPr>
            <w:tcW w:type="dxa" w:w="6803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Máquinas Elétricas Girantes — Ensaios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NBR 10295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Transformadores a Seco — Ensaios</w:t>
            </w:r>
          </w:p>
        </w:tc>
      </w:tr>
      <w:tr>
        <w:tc>
          <w:tcPr>
            <w:tcW w:type="dxa" w:w="2551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Lei 14.133/2021</w:t>
            </w:r>
          </w:p>
        </w:tc>
        <w:tc>
          <w:tcPr>
            <w:tcW w:type="dxa" w:w="6803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Nova Lei de Licitações e Contratos Administrativos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Decreto 7.983/2013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Regras para elaboração de orçamento de referência</w:t>
            </w:r>
          </w:p>
        </w:tc>
      </w:tr>
      <w:tr>
        <w:tc>
          <w:tcPr>
            <w:tcW w:type="dxa" w:w="2551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IN SEGES/ME 65/2021</w:t>
            </w:r>
          </w:p>
        </w:tc>
        <w:tc>
          <w:tcPr>
            <w:tcW w:type="dxa" w:w="6803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Procedimento para pesquisa de preços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CONAMA 362/2005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Destinação de óleo lubrificante usado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7. SEGURANÇA DO TRABALHO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A equipe técnica deverá atender integralmente às normas de segurança aplicáveis: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Todos os profissionais devem portar os EPI aplicáveis: luvas isolantes classe adequada, proteção auditiva, óculos de segurança, capacete com jugular e calçado de segurança com biqueira isolante;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 equipe que atuará na subestação deverá possuir treinamento em NR-10 Básico e NR-10 SEP (Sistema Elétrico de Potência), com certificados vigentes apresentados à fiscalização antes do início dos serviços;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Emitir Análise Preliminar de Risco (APR) e Permissão de Trabalho (PT) antes do início das atividades, com aprovação da fiscalização do contrato;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Realizar DDS (Diálogo Diário de Segurança) no início de cada jornada, com registro em ata assinada por todos os participantes;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Os serviços na subestação devem ser realizados com desligamento total da alimentação, com aterramento temporário instalado, sinalização de segurança (placas, cones e fitas) e bloqueio/etiquetagem (LOTO);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 desligamento da subestação deverá ser programado junto à EDP com no mínimo 15 (quinze) dias de antecedência, ficando a coordenação a cargo da Contratante;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Fornecer conjunto de aterramento temporário completo (cabos, garras e hastes) durante todo o período de desligamento.</w:t>
      </w:r>
    </w:p>
    <w:p>
      <w:pPr>
        <w:pStyle w:val="Heading1"/>
      </w:pPr>
      <w:r>
        <w:rPr>
          <w:rFonts w:ascii="Calibri" w:hAnsi="Calibri"/>
          <w:color w:val="1B3A5C"/>
        </w:rPr>
        <w:t>8. DESCARTE DE RESÍDUOS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A Contratada é integralmente responsável pela coleta, transporte e destinação final ambientalmente adequada de todos os fluidos contaminados (óleo queimado, aditivo velho, restos de solvente) e peças substituídas (filtros saturados, borrachas, juntas), devendo apresentar à Fiscalização o Manifesto de Transporte de Resíduos (MTR) e o Certificado de Destinação Final (CDF) em conformidade com a Resolução CONAMA 362/2005 e demais legislações ambientais aplicáveis.</w:t>
      </w:r>
    </w:p>
    <w:p>
      <w:pPr>
        <w:pStyle w:val="Heading1"/>
      </w:pPr>
      <w:r>
        <w:rPr>
          <w:rFonts w:ascii="Calibri" w:hAnsi="Calibri"/>
          <w:color w:val="1B3A5C"/>
        </w:rPr>
        <w:t>9. QUALIFICAÇÃO TÉCNICA EXIGIDA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A empresa licitante deverá comprovar, na fase de habilitação técnica: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Registro ativo no CREA com habilitação para serviços de engenharia elétrica e/ou mecânica;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Responsável técnico (engenheiro eletricista ou eletromecânico) com registro ativo no CREA/ES e experiência comprovada em manutenção de subestações e grupos geradores;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Atestado(s) de capacidade técnica emitidos por pessoa jurídica de direito público ou privado, comprovando serviços similares (manutenção de subestação de média tensão e/ou grupo gerador diesel);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Comprovação de treinamento NR-10 Básico e NR-10 SEP para toda a equipe técnica, com certificados vigentes;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Seguro de responsabilidade civil profissional vigente, com cobertura compatível com o valor contratual.</w:t>
      </w:r>
    </w:p>
    <w:p>
      <w:pPr>
        <w:pStyle w:val="Heading1"/>
      </w:pPr>
      <w:r>
        <w:rPr>
          <w:rFonts w:ascii="Calibri" w:hAnsi="Calibri"/>
          <w:color w:val="1B3A5C"/>
        </w:rPr>
        <w:t>10. EQUIPE TÉCNICA MÍNIMA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850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Quant</w:t>
            </w:r>
          </w:p>
        </w:tc>
        <w:tc>
          <w:tcPr>
            <w:tcW w:type="dxa" w:w="2268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Habilitação</w:t>
            </w:r>
          </w:p>
        </w:tc>
        <w:tc>
          <w:tcPr>
            <w:tcW w:type="dxa" w:w="368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Escopo</w:t>
            </w:r>
          </w:p>
        </w:tc>
      </w:tr>
      <w:tr>
        <w:tc>
          <w:tcPr>
            <w:tcW w:type="dxa" w:w="2551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Engenheiro Eletricista (RT)</w:t>
            </w:r>
          </w:p>
        </w:tc>
        <w:tc>
          <w:tcPr>
            <w:tcW w:type="dxa" w:w="850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2268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CREA ativo, NR-10 SEP</w:t>
            </w:r>
          </w:p>
        </w:tc>
        <w:tc>
          <w:tcPr>
            <w:tcW w:type="dxa" w:w="368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Supervisão geral, ensaios, laudos e ART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Eletricista Especializado</w:t>
            </w:r>
          </w:p>
        </w:tc>
        <w:tc>
          <w:tcPr>
            <w:tcW w:type="dxa" w:w="85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NR-10, NR-10 SEP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Execução dos serviços em MT e BT</w:t>
            </w:r>
          </w:p>
        </w:tc>
      </w:tr>
      <w:tr>
        <w:tc>
          <w:tcPr>
            <w:tcW w:type="dxa" w:w="2551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Auxiliar de Eletricista</w:t>
            </w:r>
          </w:p>
        </w:tc>
        <w:tc>
          <w:tcPr>
            <w:tcW w:type="dxa" w:w="850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2268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NR-10</w:t>
            </w:r>
          </w:p>
        </w:tc>
        <w:tc>
          <w:tcPr>
            <w:tcW w:type="dxa" w:w="368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Apoio operacional, limpeza e sinalização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B3A5C"/>
        </w:rPr>
        <w:t>11. PRAZO DE EXECUÇÃO E CRONOGRAMA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Os serviços deverão ser executados conforme o seguinte cronograma: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Serviço</w:t>
            </w:r>
          </w:p>
        </w:tc>
        <w:tc>
          <w:tcPr>
            <w:tcW w:type="dxa" w:w="1984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Prazo</w:t>
            </w:r>
          </w:p>
        </w:tc>
        <w:tc>
          <w:tcPr>
            <w:tcW w:type="dxa" w:w="3402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Observação</w:t>
            </w:r>
          </w:p>
        </w:tc>
      </w:tr>
      <w:tr>
        <w:tc>
          <w:tcPr>
            <w:tcW w:type="dxa" w:w="680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</w:t>
            </w:r>
          </w:p>
        </w:tc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Grupo Gerador (Itens 1.0 + 2.0)</w:t>
            </w:r>
          </w:p>
        </w:tc>
        <w:tc>
          <w:tcPr>
            <w:tcW w:type="dxa" w:w="1984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 dia útil</w:t>
            </w:r>
          </w:p>
        </w:tc>
        <w:tc>
          <w:tcPr>
            <w:tcW w:type="dxa" w:w="3402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Jornada comercial (08h às 17h)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Subestação (Itens 3.0 + 4.0)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 dia (fim de semana)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08h às 14h — requer desligamento EDP</w:t>
            </w:r>
          </w:p>
        </w:tc>
      </w:tr>
      <w:tr>
        <w:tc>
          <w:tcPr>
            <w:tcW w:type="dxa" w:w="680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</w:t>
            </w:r>
          </w:p>
        </w:tc>
        <w:tc>
          <w:tcPr>
            <w:tcW w:type="dxa" w:w="2835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Relatórios e ART (Itens 1.4 + 4.1)</w:t>
            </w:r>
          </w:p>
        </w:tc>
        <w:tc>
          <w:tcPr>
            <w:tcW w:type="dxa" w:w="1984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Até 10 dias úteis</w:t>
            </w:r>
          </w:p>
        </w:tc>
        <w:tc>
          <w:tcPr>
            <w:tcW w:type="dxa" w:w="3402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Entrega dos laudos + ART emitida</w:t>
            </w:r>
          </w:p>
        </w:tc>
      </w:tr>
    </w:tbl>
    <w:p/>
    <w:p>
      <w:pPr>
        <w:spacing w:after="160"/>
      </w:pPr>
      <w:r>
        <w:rPr>
          <w:rFonts w:ascii="Calibri" w:hAnsi="Calibri"/>
          <w:b w:val="0"/>
          <w:color w:val="333333"/>
          <w:sz w:val="20"/>
        </w:rPr>
        <w:t>A execução dos serviços na subestação está condicionada ao desligamento programado junto à EDP, que deve ser solicitado com no mínimo 15 (quinze) dias de antecedência pela Contratante.</w:t>
      </w:r>
    </w:p>
    <w:p>
      <w:pPr>
        <w:pStyle w:val="Heading1"/>
      </w:pPr>
      <w:r>
        <w:rPr>
          <w:rFonts w:ascii="Calibri" w:hAnsi="Calibri"/>
          <w:color w:val="1B3A5C"/>
        </w:rPr>
        <w:t>12. OBRIGAÇÕES DA CONTRATADA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Executar os serviços em estrita conformidade com esta Especificação Técnica e a Planilha Orçamentária;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Disponibilizar equipe técnica habilitada, com treinamento NR-10/NR-10 SEP, uniformizada, com EPIs e ferramental adequado;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Fornecer todo o ferramental, instrumentos de medição calibrados (megôhmetro, terrômetro, amperímetro) e equipamentos necessários à execução;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Fornecer conjunto de aterramento temporário completo durante o desligamento da subestação;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Emitir ART junto ao CREA/ES para todos os serviços de engenharia executados;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Responsabilizar-se integralmente por danos causados ao patrimônio público durante a execução dos serviços;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Coletar e destinar adequadamente todos os resíduos gerados, apresentando MTR e CDF à fiscalização;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Entregar relatório técnico completo com registro fotográfico em até 10 (dez) dias úteis após a conclusão dos serviços.</w:t>
      </w:r>
    </w:p>
    <w:p>
      <w:pPr>
        <w:pStyle w:val="Heading1"/>
      </w:pPr>
      <w:r>
        <w:rPr>
          <w:rFonts w:ascii="Calibri" w:hAnsi="Calibri"/>
          <w:color w:val="1B3A5C"/>
        </w:rPr>
        <w:t>13. OBRIGAÇÕES DA CONTRATANTE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Liberar permissão de trabalho e acesso controlado às áreas e equipamentos;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Autorizar utilização de dispositivo eletrônico para registro fotográfico dos serviços;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Disponibilizar documentos técnicos, especificações, projetos e diagramas unifilares necessários;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Acompanhar o desenvolvimento dos serviços através de fiscalização técnica designada;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Programar junto à EDP o desligamento do ponto de entrega com 15 (quinze) dias de antecedência.</w:t>
      </w:r>
    </w:p>
    <w:p>
      <w:pPr>
        <w:pStyle w:val="Heading1"/>
      </w:pPr>
      <w:r>
        <w:rPr>
          <w:rFonts w:ascii="Calibri" w:hAnsi="Calibri"/>
          <w:color w:val="1B3A5C"/>
        </w:rPr>
        <w:t>14. CRITÉRIOS DE MEDIÇÃO E PAGAMENTO</w:t>
      </w:r>
    </w:p>
    <w:p>
      <w:pPr>
        <w:spacing w:after="120"/>
      </w:pPr>
      <w:r>
        <w:rPr>
          <w:rFonts w:ascii="Calibri" w:hAnsi="Calibri"/>
          <w:b w:val="0"/>
          <w:color w:val="333333"/>
          <w:sz w:val="22"/>
        </w:rPr>
        <w:t>Os serviços serão medidos e pagos conforme os critérios abaixo: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Parcela</w:t>
            </w:r>
          </w:p>
        </w:tc>
        <w:tc>
          <w:tcPr>
            <w:tcW w:type="dxa" w:w="5669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Condição de Pagamento</w:t>
            </w:r>
          </w:p>
        </w:tc>
        <w:tc>
          <w:tcPr>
            <w:tcW w:type="dxa" w:w="1417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% do Total</w:t>
            </w:r>
          </w:p>
        </w:tc>
      </w:tr>
      <w:tr>
        <w:tc>
          <w:tcPr>
            <w:tcW w:type="dxa" w:w="1701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1ª Parcela</w:t>
            </w:r>
          </w:p>
        </w:tc>
        <w:tc>
          <w:tcPr>
            <w:tcW w:type="dxa" w:w="5669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Após conclusão dos serviços de campo (Gerador + Subestação), atestada pela Fiscalização</w:t>
            </w:r>
          </w:p>
        </w:tc>
        <w:tc>
          <w:tcPr>
            <w:tcW w:type="dxa" w:w="1417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70%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2ª Parcela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Após entrega e aprovação dos relatórios técnicos, laudos e ART (itens 1.4 e 4.1)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30%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color w:val="333333"/>
          <w:sz w:val="20"/>
        </w:rPr>
        <w:t>A Nota Fiscal deverá ser emitida somente após a atestação formal da fiscalização, com vencimento de 30 (trinta) dias corridos.</w:t>
      </w:r>
    </w:p>
    <w:p>
      <w:pPr>
        <w:pStyle w:val="Heading1"/>
      </w:pPr>
      <w:r>
        <w:rPr>
          <w:rFonts w:ascii="Calibri" w:hAnsi="Calibri"/>
          <w:color w:val="1B3A5C"/>
        </w:rPr>
        <w:t>15. QUADRO RESUMO ORÇAMENTÁRIO DE REFERÊNCIA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Parte</w:t>
            </w:r>
          </w:p>
        </w:tc>
        <w:tc>
          <w:tcPr>
            <w:tcW w:type="dxa" w:w="5669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551"/>
            <w:shd w:fill="1B3A5C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Subtotal (Com BDI 25%)</w:t>
            </w:r>
          </w:p>
        </w:tc>
      </w:tr>
      <w:tr>
        <w:tc>
          <w:tcPr>
            <w:tcW w:type="dxa" w:w="1134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A</w:t>
            </w:r>
          </w:p>
        </w:tc>
        <w:tc>
          <w:tcPr>
            <w:tcW w:type="dxa" w:w="5669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Grupo Gerador (Itens 1.0 + 2.0)</w:t>
            </w:r>
          </w:p>
        </w:tc>
        <w:tc>
          <w:tcPr>
            <w:tcW w:type="dxa" w:w="2551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R$ 10.356,57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B</w:t>
            </w:r>
          </w:p>
        </w:tc>
        <w:tc>
          <w:tcPr>
            <w:tcW w:type="dxa" w:w="5669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Subestação Elétrica (Itens 3.0 + 4.0)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R$ 12.473,30</w:t>
            </w:r>
          </w:p>
        </w:tc>
      </w:tr>
      <w:tr>
        <w:tc>
          <w:tcPr>
            <w:tcW w:type="dxa" w:w="1134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</w:r>
          </w:p>
        </w:tc>
        <w:tc>
          <w:tcPr>
            <w:tcW w:type="dxa" w:w="5669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TOTAL GERAL DE REFERÊNCIA</w:t>
            </w:r>
          </w:p>
        </w:tc>
        <w:tc>
          <w:tcPr>
            <w:tcW w:type="dxa" w:w="2551"/>
            <w:shd w:fill="EBF1F8" w:val="clear"/>
          </w:tcPr>
          <w:p>
            <w:r/>
            <w:r>
              <w:rPr>
                <w:rFonts w:ascii="Calibri" w:hAnsi="Calibri"/>
                <w:color w:val="333333"/>
                <w:sz w:val="18"/>
              </w:rPr>
              <w:t>R$ 22.829,87</w:t>
            </w:r>
          </w:p>
        </w:tc>
      </w:tr>
    </w:tbl>
    <w:p/>
    <w:p>
      <w:pPr>
        <w:spacing w:after="120"/>
      </w:pPr>
      <w:r>
        <w:rPr>
          <w:rFonts w:ascii="Calibri" w:hAnsi="Calibri"/>
          <w:b w:val="0"/>
          <w:color w:val="333333"/>
          <w:sz w:val="20"/>
        </w:rPr>
        <w:t>Os valores acima são referenciais, compostos analiticamente com base no SINAPI 04/2026 (ES, desonerado), SBC 05/2026 (ES), SICRO3 01/2026 (ES), IOPES 01/2026 (ES) e cotações de mercado da Grande Vitória, com BDI de 25% (Acórdão TCU 2.622/2013).</w:t>
      </w:r>
    </w:p>
    <w:p>
      <w:pPr>
        <w:pStyle w:val="Heading1"/>
      </w:pPr>
      <w:r>
        <w:rPr>
          <w:rFonts w:ascii="Calibri" w:hAnsi="Calibri"/>
          <w:color w:val="1B3A5C"/>
        </w:rPr>
        <w:t>16. OBSERVAÇÕES E RECOMENDAÇÕES PARA A EQUIPE DE LICITAÇÃO</w:t>
      </w:r>
    </w:p>
    <w:p>
      <w:pPr>
        <w:spacing w:before="240" w:after="240"/>
      </w:pPr>
      <w:r>
        <w:rPr>
          <w:b/>
          <w:color w:val="C0392B"/>
          <w:sz w:val="24"/>
        </w:rPr>
        <w:t xml:space="preserve">⚠ </w:t>
      </w:r>
      <w:r>
        <w:rPr>
          <w:rFonts w:ascii="Calibri" w:hAnsi="Calibri"/>
          <w:b/>
          <w:color w:val="C0392B"/>
          <w:sz w:val="22"/>
        </w:rPr>
        <w:t xml:space="preserve">RECOMENDAÇÃO TÉCNICA — PERIODICIDADE SEMESTRAL DO GRUPO GERADOR — </w:t>
      </w:r>
      <w:r>
        <w:rPr>
          <w:rFonts w:ascii="Calibri" w:hAnsi="Calibri"/>
          <w:color w:val="333333"/>
          <w:sz w:val="22"/>
        </w:rPr>
        <w:t>Recomenda-se que a contratação da manutenção preventiva e corretiva do Grupo Gerador (Parte A — Itens 1.0 e 2.0) seja realizada com periodicidade SEMESTRAL (a cada 6 meses), totalizando 2 (duas) intervenções por ano. Essa periodicidade atende às recomendações dos fabricantes (Scania e WEG) e às boas práticas de engenharia para equipamentos de emergência que permanecem em standby contínuo, evitando a degradação prematura de fluidos, filtros e componentes elétricos por tempo de inatividade.</w:t>
      </w:r>
    </w:p>
    <w:p>
      <w:pPr>
        <w:spacing w:after="120"/>
      </w:pPr>
      <w:r>
        <w:rPr>
          <w:rFonts w:ascii="Calibri" w:hAnsi="Calibri"/>
          <w:b/>
          <w:color w:val="333333"/>
          <w:sz w:val="22"/>
        </w:rPr>
        <w:t>Orientações adicionais para a equipe de licitação:</w:t>
      </w:r>
    </w:p>
    <w:p>
      <w:pPr>
        <w:pStyle w:val="ListBullet"/>
      </w:pPr>
      <w:r>
        <w:rPr>
          <w:rFonts w:ascii="Calibri" w:hAnsi="Calibri"/>
          <w:b/>
          <w:color w:val="333333"/>
          <w:sz w:val="22"/>
        </w:rPr>
        <w:t xml:space="preserve">Modalidade sugerida: </w:t>
      </w:r>
      <w:r>
        <w:rPr>
          <w:rFonts w:ascii="Calibri" w:hAnsi="Calibri"/>
          <w:color w:val="333333"/>
          <w:sz w:val="22"/>
        </w:rPr>
        <w:t>Dispensa de licitação (art. 75, inciso II, da Lei 14.133/2021) para o valor global de R$ 22.829,87, ou Pregão Eletrônico caso se opte pela contratação anual (2 preventivas do gerador + 1 preventiva da subestação).</w:t>
      </w:r>
    </w:p>
    <w:p>
      <w:pPr>
        <w:pStyle w:val="ListBullet"/>
      </w:pPr>
      <w:r>
        <w:rPr>
          <w:rFonts w:ascii="Calibri" w:hAnsi="Calibri"/>
          <w:b/>
          <w:color w:val="333333"/>
          <w:sz w:val="22"/>
        </w:rPr>
        <w:t xml:space="preserve">Contrato anual estimado: </w:t>
      </w:r>
      <w:r>
        <w:rPr>
          <w:rFonts w:ascii="Calibri" w:hAnsi="Calibri"/>
          <w:color w:val="333333"/>
          <w:sz w:val="22"/>
        </w:rPr>
        <w:t>Caso a contratação seja anualizada com periodicidade semestral para o gerador: Gerador (2 × R$ 10.356,57 = R$ 20.713,14) + Subestação (1 × R$ 12.473,30) = R$ 33.186,44/ano.</w:t>
      </w:r>
    </w:p>
    <w:p>
      <w:pPr>
        <w:pStyle w:val="ListBullet"/>
      </w:pPr>
      <w:r>
        <w:rPr>
          <w:rFonts w:ascii="Calibri" w:hAnsi="Calibri"/>
          <w:b/>
          <w:color w:val="333333"/>
          <w:sz w:val="22"/>
        </w:rPr>
        <w:t xml:space="preserve">Subestação — periodicidade: </w:t>
      </w:r>
      <w:r>
        <w:rPr>
          <w:rFonts w:ascii="Calibri" w:hAnsi="Calibri"/>
          <w:color w:val="333333"/>
          <w:sz w:val="22"/>
        </w:rPr>
        <w:t>A manutenção preventiva da subestação pode ser anual (1 vez ao ano), desde que não haja ocorrências que justifiquem antecipação.</w:t>
      </w:r>
    </w:p>
    <w:p>
      <w:pPr>
        <w:pStyle w:val="ListBullet"/>
      </w:pPr>
      <w:r>
        <w:rPr>
          <w:rFonts w:ascii="Calibri" w:hAnsi="Calibri"/>
          <w:b/>
          <w:color w:val="333333"/>
          <w:sz w:val="22"/>
        </w:rPr>
        <w:t xml:space="preserve">Agrupamento dos lotes: </w:t>
      </w:r>
      <w:r>
        <w:rPr>
          <w:rFonts w:ascii="Calibri" w:hAnsi="Calibri"/>
          <w:color w:val="333333"/>
          <w:sz w:val="22"/>
        </w:rPr>
        <w:t>Recomenda-se lote único (Gerador + Subestação), pois são escopos complementares que compartilham equipe técnica (NR-10 SEP) e equipamentos de medição, gerando economia de mobilização.</w:t>
      </w:r>
    </w:p>
    <w:p>
      <w:pPr>
        <w:pStyle w:val="ListBullet"/>
      </w:pPr>
      <w:r>
        <w:rPr>
          <w:rFonts w:ascii="Calibri" w:hAnsi="Calibri"/>
          <w:b/>
          <w:color w:val="333333"/>
          <w:sz w:val="22"/>
        </w:rPr>
        <w:t xml:space="preserve">Desligamento EDP: </w:t>
      </w:r>
      <w:r>
        <w:rPr>
          <w:rFonts w:ascii="Calibri" w:hAnsi="Calibri"/>
          <w:color w:val="333333"/>
          <w:sz w:val="22"/>
        </w:rPr>
        <w:t>Incluir no cronograma contratual a obrigatoriedade de agendamento do desligamento junto à EDP com 15 dias de antecedência. Execução na subestação preferencialmente em fim de semana.</w:t>
      </w:r>
    </w:p>
    <w:p>
      <w:pPr>
        <w:pStyle w:val="ListBullet"/>
      </w:pPr>
      <w:r>
        <w:rPr>
          <w:rFonts w:ascii="Calibri" w:hAnsi="Calibri"/>
          <w:b/>
          <w:color w:val="333333"/>
          <w:sz w:val="22"/>
        </w:rPr>
        <w:t xml:space="preserve">Documentação obrigatória: </w:t>
      </w:r>
      <w:r>
        <w:rPr>
          <w:rFonts w:ascii="Calibri" w:hAnsi="Calibri"/>
          <w:color w:val="333333"/>
          <w:sz w:val="22"/>
        </w:rPr>
        <w:t>Exigir no edital: ART emitida, laudo técnico com registro fotográfico, MTR/CDF de resíduos e certificados de calibração dos instrumentos de medição utilizados.</w:t>
      </w:r>
    </w:p>
    <w:p>
      <w:pPr>
        <w:pStyle w:val="Heading1"/>
      </w:pPr>
      <w:r>
        <w:rPr>
          <w:rFonts w:ascii="Calibri" w:hAnsi="Calibri"/>
          <w:color w:val="1B3A5C"/>
        </w:rPr>
        <w:t>17. DISPOSIÇÕES GERAIS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Os serviços deverão ser executados de segunda a sexta das 08h às 17h (gerador) e em fim de semana das 08h às 14h (subestação), salvo autorização expressa da fiscalização;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Quaisquer serviços fora do escopo técnico definido neste documento serão objeto de aditivo contratual, previamente autorizado pela Administração;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Os casos omissos serão resolvidos pela fiscalização do contrato, com base nas normas técnicas aplicáveis e na legislação vigente;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A Contratada deverá reparar, às suas expensas, quaisquer danos causados às instalações do edifício durante a execução dos serviços.</w:t>
      </w:r>
    </w:p>
    <w:p/>
    <w:p/>
    <w:p>
      <w:pPr>
        <w:spacing w:after="600"/>
        <w:jc w:val="center"/>
      </w:pPr>
      <w:r>
        <w:rPr>
          <w:rFonts w:ascii="Calibri" w:hAnsi="Calibri"/>
          <w:b w:val="0"/>
          <w:color w:val="333333"/>
          <w:sz w:val="22"/>
        </w:rPr>
        <w:t>Vitória/ES, maio de 2026.</w:t>
      </w:r>
    </w:p>
    <w:p/>
    <w:p/>
    <w:p>
      <w:pPr>
        <w:jc w:val="center"/>
      </w:pPr>
      <w:r>
        <w:rPr>
          <w:color w:val="333333"/>
          <w:sz w:val="20"/>
        </w:rPr>
        <w:t>__________________________________________________</w:t>
      </w:r>
    </w:p>
    <w:p>
      <w:pPr>
        <w:spacing w:after="40"/>
        <w:jc w:val="center"/>
      </w:pPr>
      <w:r>
        <w:rPr>
          <w:rFonts w:ascii="Calibri" w:hAnsi="Calibri"/>
          <w:b/>
          <w:color w:val="333333"/>
          <w:sz w:val="22"/>
        </w:rPr>
        <w:t>Luis Fernando</w:t>
      </w:r>
    </w:p>
    <w:p>
      <w:pPr>
        <w:spacing w:after="40"/>
        <w:jc w:val="center"/>
      </w:pPr>
      <w:r>
        <w:rPr>
          <w:rFonts w:ascii="Calibri" w:hAnsi="Calibri"/>
          <w:b w:val="0"/>
          <w:color w:val="333333"/>
          <w:sz w:val="20"/>
        </w:rPr>
        <w:t>Setor de Engenharia — SRAES/MGI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