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Reforma e Impermeabilização da Marquise do Anexo ao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de reforma e impermeabilização da marquise do anexo ao Edifício Sede MGI/ES em Vitória/ES, incluindo montagem de andaimes fachadeiros, demolição de revestimentos de granito e manta antiga, infraestrutura elétrica/CFTV subterrânea/aparente, readequação da drenagem pluvial, regularização de base, colagem a quente de manta asfáltica 3mm com proteção mecânica estruturada, recomposição de granito com pingadeira e pintura epóxi em escada de marinheiro. Conforme o Acórdão TCU nº 2.622/2013 (Reforma e Manutenção de Edifícios), a faixa referencial situa-se entre 20,34% (1º Quartil), 22,12% (Médio) e 25,00% (3º Quartil). Demonstra-se a seguir que a opção pelo limite superior (25,00%) decorre estritamente da alíquota tributária municipal local e da elevada complexidade de segurança em trabalho em altura (NR-35/NR-18) e riscos de infiltrações estruturais.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engenharia civil, reformas e impermeabilização predial, elevando a carga tributária faturada (I) para 10,45% (ISS 5% + COFINS 3% + PIS 0,65% + CPRB 1,80%). Na fórmula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Complexidade de Intervenção Multidisciplinar (Estanqueidade, Drenagem Pluvial e Redes Elétrica/CFTV): </w:t>
      </w:r>
      <w:r>
        <w:rPr>
          <w:sz w:val="17"/>
        </w:rPr>
        <w:t>A obra abrange desde a remoção de granitos e demolição da manta deteriorada até o redimensionamento de condutores pluviais (joelhos 45°, tubos PVC R Ø 75mm e ralos abacaxi de ferro fundido), escavação/envelopamento de redes de CFTV/elétrica e colagem de manta asfáltica 3mm com teste de estanqueidade de 72h e proteção mecânica armada, exigindo estrita estanqueidade do anexo ocupado.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Trabalho em Altura na Testeira (NR-35), Proteção do Térreo/Pedestres (NR-18) e Prédio Ocupado: </w:t>
      </w:r>
      <w:r>
        <w:rPr>
          <w:sz w:val="17"/>
        </w:rPr>
        <w:t>A reforma na marquise sobre a projeção da entrada do edifício exige andaimes tubulares fachadeiros, rígida observância à NR-35 e sinalização/isolamento perimetral do térreo (SRAES-JUNTAS-002) conforme a NR-18 para prevenção de queda de materiais e entulhos sobre pedestres e veículos durante o expediente público.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pelas severas exigências de segurança no trabalho em altura (NR-35/NR-18) e garantia de estanqueidade da marquise do anexo do MGI/ES.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