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Obra: Reforma da Estrutura Suporte da CAG no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</w:pPr>
      <w:r>
        <w:t>O presente memorial fundamenta a adoção da taxa de BDI de 25,00% (Desonerado) para a reforma estrutural da CAG do Edifício Sede MGI/ES. Conforme o Acórdão TCU nº 2.622/2013 (Construção de Edifícios), a faixa referencial situa-se entre 20,34% (1º Quartil), 22,12% (Médio) e 25,00% (3º Quartil). Demonstra-se a seguir que a opção pelo 3º Quartil (25,00%) decorre estritamente da alíquota tributária municipal local e da elevada complexidade operacional da obra.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60/2002), elevando a carga tributária faturada (I) para 10,45% (ISS 5% + COFINS 3% + PIS 0,65% + CPRB 1,80%). Na fórmula matemática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</w:pPr>
      <w:r>
        <w:rPr>
          <w:b/>
          <w:sz w:val="17"/>
        </w:rPr>
        <w:t xml:space="preserve">Fato 2 – Complexidade Logística e Operação de Içamento em Edifício Ativo: </w:t>
      </w:r>
      <w:r>
        <w:rPr>
          <w:sz w:val="17"/>
        </w:rPr>
        <w:t>A reforma exige movimentação de estruturas metálicas pesadas na cobertura via guindaste de grande porte em prédio público operacional. O trabalho impõe janelas noturnas/finais de semana, rígido plano de contingência e restrição de transporte vertical.</w:t>
      </w:r>
    </w:p>
    <w:p>
      <w:pPr>
        <w:spacing w:before="40" w:after="60" w:line="252" w:lineRule="auto"/>
      </w:pPr>
      <w:r>
        <w:rPr>
          <w:b/>
          <w:sz w:val="17"/>
        </w:rPr>
        <w:t xml:space="preserve">Fato 3 – Sensibilidade Crítica do Sistema de Climatização (CAG): </w:t>
      </w:r>
      <w:r>
        <w:rPr>
          <w:sz w:val="17"/>
        </w:rPr>
        <w:t>A CAG atende todo o Edifício Sede MGI/ES. A intervenção estrutural exige suporte contínuo e gestão de riscos reforçada para impedir paralisações do sistema de ar condicionado do órgão.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</w:pPr>
      <w:r>
        <w:t>A taxa de BDI de 25,00% é plenamente regular e justificável: encontra-se rigorosamente dentro dos limites legais do Acórdão TCU 2.622/2013, sendo impulsionada exclusivamente pela alíquota tributária de Vitória/ES (ISS 5%) e pelas severas restrições operacionais da obra em cobertura de edifício público.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