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03366"/>
          <w:sz w:val="24"/>
        </w:rPr>
        <w:t>MINISTÉRIO DA GESTÃO E DA INOVAÇÃO EM SERVIÇOS PÚBLICOS — MGI</w:t>
      </w:r>
    </w:p>
    <w:p>
      <w:pPr>
        <w:spacing w:before="0" w:after="240"/>
        <w:jc w:val="center"/>
      </w:pPr>
      <w:r>
        <w:rPr>
          <w:b/>
          <w:color w:val="555555"/>
          <w:sz w:val="21"/>
        </w:rPr>
        <w:t>SUPERINTENDÊNCIA REGIONAL DE ADMINISTRAÇÃO NO ESPÍRITO SANTO — SRA/ES</w:t>
      </w:r>
    </w:p>
    <w:p>
      <w:pPr>
        <w:spacing w:before="160" w:after="280"/>
        <w:jc w:val="center"/>
      </w:pPr>
      <w:r>
        <w:rPr>
          <w:b/>
          <w:color w:val="003366"/>
          <w:sz w:val="28"/>
        </w:rPr>
        <w:t>DESPACHO DE SOLICITAÇÃO DE AUTORIZAÇÃO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2160"/>
            <w:shd w:fill="F4F6F9"/>
          </w:tcPr>
          <w:p>
            <w:pPr>
              <w:spacing w:after="40"/>
            </w:pPr>
            <w:r>
              <w:rPr>
                <w:b/>
                <w:sz w:val="20"/>
              </w:rPr>
              <w:t>DE:</w:t>
            </w:r>
          </w:p>
        </w:tc>
        <w:tc>
          <w:tcPr>
            <w:tcW w:type="dxa" w:w="7200"/>
            <w:shd w:fill="F4F6F9"/>
          </w:tcPr>
          <w:p>
            <w:pPr>
              <w:spacing w:after="40"/>
            </w:pPr>
            <w:r>
              <w:rPr>
                <w:sz w:val="20"/>
              </w:rPr>
              <w:t>Serviço de Engenharia e Arquitetura — SRA/ES</w:t>
            </w:r>
          </w:p>
        </w:tc>
      </w:tr>
      <w:tr>
        <w:tc>
          <w:tcPr>
            <w:tcW w:type="dxa" w:w="2160"/>
            <w:shd w:fill="F4F6F9"/>
          </w:tcPr>
          <w:p>
            <w:pPr>
              <w:spacing w:after="40"/>
            </w:pPr>
            <w:r>
              <w:rPr>
                <w:b/>
                <w:sz w:val="20"/>
              </w:rPr>
              <w:t>PARA:</w:t>
            </w:r>
          </w:p>
        </w:tc>
        <w:tc>
          <w:tcPr>
            <w:tcW w:type="dxa" w:w="7200"/>
            <w:shd w:fill="F4F6F9"/>
          </w:tcPr>
          <w:p>
            <w:pPr>
              <w:spacing w:after="40"/>
            </w:pPr>
            <w:r>
              <w:rPr>
                <w:sz w:val="20"/>
              </w:rPr>
              <w:t>Superintendência Regional de Administração no Espírito Santo — SRA/ES</w:t>
            </w:r>
          </w:p>
        </w:tc>
      </w:tr>
      <w:tr>
        <w:tc>
          <w:tcPr>
            <w:tcW w:type="dxa" w:w="2160"/>
            <w:shd w:fill="F4F6F9"/>
          </w:tcPr>
          <w:p>
            <w:pPr>
              <w:spacing w:after="40"/>
            </w:pPr>
            <w:r>
              <w:rPr>
                <w:b/>
                <w:sz w:val="20"/>
              </w:rPr>
              <w:t>ASSUNTO:</w:t>
            </w:r>
          </w:p>
        </w:tc>
        <w:tc>
          <w:tcPr>
            <w:tcW w:type="dxa" w:w="7200"/>
            <w:shd w:fill="F4F6F9"/>
          </w:tcPr>
          <w:p>
            <w:pPr>
              <w:spacing w:after="40"/>
            </w:pPr>
            <w:r>
              <w:rPr>
                <w:sz w:val="20"/>
              </w:rPr>
              <w:t>Solicitação de Autorização para Prosseguimento da Contratação (Reforma e Adequação Estrutural da CAG)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03366"/>
          <w:sz w:val="23"/>
        </w:rPr>
        <w:t>1. CONTEXTO E OBJETO</w:t>
      </w:r>
    </w:p>
    <w:p>
      <w:pPr>
        <w:spacing w:before="0" w:after="120" w:line="276" w:lineRule="auto"/>
      </w:pPr>
      <w:r>
        <w:rPr>
          <w:b/>
        </w:rPr>
        <w:t xml:space="preserve">1.1. </w:t>
      </w:r>
      <w:r>
        <w:t>Submete-se à apreciação dessa Superintendência o presente processo instrutório para a contratação de empresa especializada em engenharia civil e mecânica visando à execução de obras e serviços de reforma, modernização e adequação estrutural da Central de Água Gelada (CAG) do Edifício-Sede do MGI/ES.</w:t>
      </w:r>
    </w:p>
    <w:p>
      <w:pPr>
        <w:spacing w:before="0" w:after="120" w:line="276" w:lineRule="auto"/>
      </w:pPr>
      <w:r>
        <w:rPr>
          <w:b/>
        </w:rPr>
        <w:t xml:space="preserve">1.2. </w:t>
      </w:r>
      <w:r>
        <w:t>A intervenção engloba a substituição de vigamentos e suportes oxidados dos compressores e chillers, instalação de mantas antivibratórias, reforma estrutural integral do guindaste rotativo (grua), fabricação de carrinho metálico sobre trilhos para manutenção pesada, adequação de passarelas, guarda-corpos e escadas técnicas de segurança (atendimento às NRs 11, 12, 18 e 35), bem como caixas de isolamento e cobertura de proteção.</w:t>
      </w:r>
    </w:p>
    <w:p>
      <w:pPr>
        <w:keepNext/>
        <w:spacing w:before="280" w:after="80"/>
      </w:pPr>
      <w:r>
        <w:rPr>
          <w:b/>
          <w:color w:val="003366"/>
          <w:sz w:val="23"/>
        </w:rPr>
        <w:t>2. ESTIMATIVA DO VALOR E ENQUADRAMENTO LEGAL</w:t>
      </w:r>
    </w:p>
    <w:p>
      <w:pPr>
        <w:spacing w:before="0" w:after="120" w:line="276" w:lineRule="auto"/>
      </w:pPr>
      <w:r>
        <w:rPr>
          <w:b/>
        </w:rPr>
        <w:t xml:space="preserve">2.1. </w:t>
      </w:r>
      <w:r>
        <w:t>O valor total estimado para a contratação é de R$ 176.849,07 (cento e setenta e seis mil, oitocentos e quarenta e nove reais e sete centavos), sendo R$ 141.491,44 referente ao Custo Direto dos Serviços e R$ 35.357,63 relativo à Bonificação e Despesas Indiretas (BDI de 25,00%).</w:t>
      </w:r>
    </w:p>
    <w:p>
      <w:pPr>
        <w:spacing w:before="0" w:after="120" w:line="276" w:lineRule="auto"/>
      </w:pPr>
      <w:r>
        <w:rPr>
          <w:b/>
        </w:rPr>
        <w:t xml:space="preserve">2.2. </w:t>
      </w:r>
      <w:r>
        <w:t>A estimativa orçamentária foi elaborada com base nas tabelas oficiais SINAPI-ES, IOPES-ES, SICRO3, ORSE, SIURB e em pesquisa de mercado com 03 (três) cotações de empresas locais, em conformidade com a IN SEGES/ME nº 65/2021 e a jurisprudência do TCU (Acórdão nº 2.622/2013).</w:t>
      </w:r>
    </w:p>
    <w:p>
      <w:pPr>
        <w:spacing w:before="0" w:after="120" w:line="276" w:lineRule="auto"/>
      </w:pPr>
      <w:r>
        <w:rPr>
          <w:b/>
        </w:rPr>
        <w:t xml:space="preserve">2.3. </w:t>
      </w:r>
      <w:r>
        <w:t>A contratação enquadra-se no regime de Empreitada por Preço Unitário, sob a égide da Lei Federal nº 14.133/2021 (Nova Lei de Licitações e Contratos Administrativos).</w:t>
      </w:r>
    </w:p>
    <w:p>
      <w:pPr>
        <w:keepNext/>
        <w:spacing w:before="280" w:after="80"/>
      </w:pPr>
      <w:r>
        <w:rPr>
          <w:b/>
          <w:color w:val="003366"/>
          <w:sz w:val="23"/>
        </w:rPr>
        <w:t>3. DOCUMENTOS INTEGRANTES DO PROCESSO</w:t>
      </w:r>
    </w:p>
    <w:p>
      <w:pPr>
        <w:spacing w:before="0" w:after="120" w:line="276" w:lineRule="auto"/>
      </w:pPr>
      <w:r>
        <w:t>A instrução do pedido conta com as seguintes peças técnicas autuadas no processo: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• </w:t>
      </w:r>
      <w:r>
        <w:t>Documento de Formalização da Demanda (DFD);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• </w:t>
      </w:r>
      <w:r>
        <w:t>Termo de Abertura de Processo SEI;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• </w:t>
      </w:r>
      <w:r>
        <w:t>Especificação Técnica Detalhada;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• </w:t>
      </w:r>
      <w:r>
        <w:t>Planilha Orçamentária Detalhada e Sintética (Revisão 2);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• </w:t>
      </w:r>
      <w:r>
        <w:t>Memoriais Descritivos e Composições Analíticas de Custos (COMP-CAG-01 a COMP-CAG-15);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• </w:t>
      </w:r>
      <w:r>
        <w:t>Relatório de Pesquisa de Mercado (IN 65/2021);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• </w:t>
      </w:r>
      <w:r>
        <w:t>Demonstrativo de Cálculo do BDI (25,00%).</w:t>
      </w:r>
    </w:p>
    <w:p>
      <w:pPr>
        <w:keepNext/>
        <w:spacing w:before="280" w:after="80"/>
      </w:pPr>
      <w:r>
        <w:rPr>
          <w:b/>
          <w:color w:val="003366"/>
          <w:sz w:val="23"/>
        </w:rPr>
        <w:t>4. SOLICITAÇÃO DE DELIBERAÇÃO</w:t>
      </w:r>
    </w:p>
    <w:p>
      <w:pPr>
        <w:spacing w:before="0" w:after="120" w:line="276" w:lineRule="auto"/>
      </w:pPr>
      <w:r>
        <w:rPr>
          <w:b/>
        </w:rPr>
        <w:t xml:space="preserve">4.1. </w:t>
      </w:r>
      <w:r>
        <w:t>Diante da relevância técnica e da necessidade de garantir a segurança operacional e o funcionamento ininterrupto da climatização do Edifício-Sede, solicita-se a V. Sa.: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1. </w:t>
      </w:r>
      <w:r>
        <w:t>AUTORIZAÇÃO para o prosseguimento dos trâmites administrativos de contratação da referida demanda;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2. </w:t>
      </w:r>
      <w:r>
        <w:t>APROVAÇÃO do Termo de Abertura do Processo Administrativo no SEI-MGI;</w:t>
      </w:r>
    </w:p>
    <w:p>
      <w:pPr>
        <w:pStyle w:val="ListBullet"/>
        <w:spacing w:before="0" w:after="80" w:line="276" w:lineRule="auto"/>
      </w:pPr>
      <w:r>
        <w:rPr>
          <w:b/>
        </w:rPr>
        <w:t xml:space="preserve">3. </w:t>
      </w:r>
      <w:r>
        <w:t>ENCAMINHAMENTO dos autos para a confecção formal do Estudo Técnico Preliminar (ETP) e do Termo de Referência (TR), visando à posterior remessa à Consultoria Jurídica da União (CJU/AGU).</w:t>
      </w:r>
    </w:p>
    <w:p>
      <w:pPr>
        <w:spacing w:before="320" w:after="480"/>
      </w:pPr>
      <w:r>
        <w:t>Vitória/ES, 10 de agosto de 2026.</w:t>
      </w:r>
    </w:p>
    <w:p>
      <w:pPr>
        <w:spacing w:before="320" w:after="40"/>
        <w:jc w:val="center"/>
      </w:pPr>
      <w:r>
        <w:rPr>
          <w:b/>
        </w:rPr>
        <w:t>_____________________________________________________</w:t>
        <w:br/>
      </w:r>
      <w:r>
        <w:rPr>
          <w:b/>
          <w:sz w:val="22"/>
        </w:rPr>
        <w:t>Eng.º Luis Fernando Dias</w:t>
        <w:br/>
      </w:r>
      <w:r>
        <w:rPr>
          <w:color w:val="555555"/>
          <w:sz w:val="20"/>
        </w:rPr>
        <w:t>Engenheiro Civil / Responsável Técnico</w:t>
        <w:br/>
        <w:t>Serviço de Engenharia e Arquitetura — SRA/ES</w:t>
      </w:r>
    </w:p>
    <w:sectPr w:rsidR="00FC693F" w:rsidRPr="0006063C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