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3366"/>
          <w:sz w:val="24"/>
        </w:rPr>
        <w:t>MINISTÉRIO DA GESTÃO E DA INOVAÇÃO EM SERVIÇOS PÚBLICOS — MGI</w:t>
      </w:r>
    </w:p>
    <w:p>
      <w:pPr>
        <w:spacing w:before="0" w:after="240"/>
        <w:jc w:val="center"/>
      </w:pPr>
      <w:r>
        <w:rPr>
          <w:b/>
          <w:color w:val="555555"/>
          <w:sz w:val="21"/>
        </w:rPr>
        <w:t>SUPERINTENDÊNCIA REGIONAL DE ADMINISTRAÇÃO NO ESPÍRITO SANTO — SRA/ES</w:t>
      </w:r>
    </w:p>
    <w:p>
      <w:pPr>
        <w:spacing w:before="160" w:after="280"/>
        <w:jc w:val="center"/>
      </w:pPr>
      <w:r>
        <w:rPr>
          <w:b/>
          <w:color w:val="003366"/>
          <w:sz w:val="28"/>
        </w:rPr>
        <w:t>DESPACHO DE SOLICITAÇÃO DE AUTORIZAÇÃO E TRAMITAÇÃO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PROCESSO SEI N.º: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10783.001114/2026-15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DE (UNIDADE ORIGEM):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Serviço de Engenharia e Arquitetura (MGI-SRA-ES-SEAL-SERL)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PARA (DESTINO):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Superintendência Regional de Administração (SRA-ES) / Caixa SEI: DCD-SRA-ES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ASSUNTO: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Solicitação de Autorização para Prosseguimento da Contratação e Tramitação à DCD-SRA-ES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3"/>
        </w:rPr>
        <w:t>1. CONTEXTO E OBJETO</w:t>
      </w:r>
    </w:p>
    <w:p>
      <w:pPr>
        <w:spacing w:before="0" w:after="120" w:line="276" w:lineRule="auto"/>
      </w:pPr>
      <w:r>
        <w:rPr>
          <w:b/>
        </w:rPr>
        <w:t xml:space="preserve">1.1. </w:t>
      </w:r>
      <w:r>
        <w:t>Submete-se à apreciação desta Superintendência o presente processo administrativo (Processo SEI n.º 10783.001114/2026-15), autuado na unidade MGI-SRA-ES-SEAL-SERL, que visa à contratação de empresa especializada em engenharia civil e mecânica para a execução de obras e serviços de reforma, modernização e adequação estrutural da Central de Água Gelada (CAG) do Edifício-Sede do MGI/ES.</w:t>
      </w:r>
    </w:p>
    <w:p>
      <w:pPr>
        <w:spacing w:before="0" w:after="120" w:line="276" w:lineRule="auto"/>
      </w:pPr>
      <w:r>
        <w:rPr>
          <w:b/>
        </w:rPr>
        <w:t xml:space="preserve">1.2. </w:t>
      </w:r>
      <w:r>
        <w:t>O escopo abrange a substituição de vigamentos e suportes metálicos oxidados dos compressores e chillers, instalação de mantas antivibratórias, reforma estrutural integral da grua/guindaste rotativo, fabricação de carrinho metálico sobre trilhos para manutenção pesada, adequação de passarelas, guarda-corpos e escadas técnicas de segurança (atendimento às NRs 11, 12, 18 e 35), além de caixas de isolamento térmico e cobertura de proteção.</w:t>
      </w:r>
    </w:p>
    <w:p>
      <w:pPr>
        <w:keepNext/>
        <w:spacing w:before="280" w:after="80"/>
      </w:pPr>
      <w:r>
        <w:rPr>
          <w:b/>
          <w:color w:val="003366"/>
          <w:sz w:val="23"/>
        </w:rPr>
        <w:t>2. ESTIMATIVA DO VALOR E ENQUADRAMENTO LEGAL</w:t>
      </w:r>
    </w:p>
    <w:p>
      <w:pPr>
        <w:spacing w:before="0" w:after="120" w:line="276" w:lineRule="auto"/>
      </w:pPr>
      <w:r>
        <w:rPr>
          <w:b/>
        </w:rPr>
        <w:t xml:space="preserve">2.1. </w:t>
      </w:r>
      <w:r>
        <w:t>O valor total estimado para a contratação é de R$ 176.849,07 (cento e setenta e seis mil, oitocentos e quarenta e nove reais e sete centavos), composto por R$ 141.491,44 de Custo Direto e R$ 35.357,63 relativo ao BDI (taxa de 25,00%).</w:t>
      </w:r>
    </w:p>
    <w:p>
      <w:pPr>
        <w:spacing w:before="0" w:after="120" w:line="276" w:lineRule="auto"/>
      </w:pPr>
      <w:r>
        <w:rPr>
          <w:b/>
        </w:rPr>
        <w:t xml:space="preserve">2.2. </w:t>
      </w:r>
      <w:r>
        <w:t>A orçamentação foi balizada nas tabelas oficiais SINAPI-ES, IOPES-ES, SICRO3, ORSE, SIURB e em ampla pesquisa de mercado com 03 (três) cotações independentes, atendendo à IN SEGES/ME nº 65/2021 e ao Acórdão TCU nº 2.622/2013.</w:t>
      </w:r>
    </w:p>
    <w:p>
      <w:pPr>
        <w:spacing w:before="0" w:after="120" w:line="276" w:lineRule="auto"/>
      </w:pPr>
      <w:r>
        <w:rPr>
          <w:b/>
        </w:rPr>
        <w:t xml:space="preserve">2.3. </w:t>
      </w:r>
      <w:r>
        <w:t>O enquadramento legal dá-se pelo regime de Empreitada por Preço Unitário, sob a Lei Federal nº 14.133/2021.</w:t>
      </w:r>
    </w:p>
    <w:p>
      <w:pPr>
        <w:keepNext/>
        <w:spacing w:before="280" w:after="80"/>
      </w:pPr>
      <w:r>
        <w:rPr>
          <w:b/>
          <w:color w:val="003366"/>
          <w:sz w:val="23"/>
        </w:rPr>
        <w:t>3. DOCUMENTOS INTEGRANTES DO PROCESSO</w:t>
      </w:r>
    </w:p>
    <w:p>
      <w:pPr>
        <w:spacing w:before="0" w:after="120" w:line="276" w:lineRule="auto"/>
      </w:pPr>
      <w:r>
        <w:t>Encontram-se autuados e instruídos no presente processo os seguintes documentos técnicos da Central Orca: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Termo de Abertura CAG (SEI nº 63453058);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Documento de Formalização da Demanda (DFD - IN nº 5/2017);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Projeto CAG 1, CAG 2 e CAG 3 (SEI nº 63457055, 63457129 e 63457208);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Planilha Orçamentária e Memória de Cálculo CAG (SEI nº 63457446, 63458342, 63458494 e 63458581);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Especificação Técnica CAG (SEI nº 63458742);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Demonstrativo e Justificativa Técnica BDI (SEI nº 63458974 e 63459051);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Cronograma Físico-Financeiro CAG (SEI nº 63459155).</w:t>
      </w:r>
    </w:p>
    <w:p>
      <w:pPr>
        <w:keepNext/>
        <w:spacing w:before="280" w:after="80"/>
      </w:pPr>
      <w:r>
        <w:rPr>
          <w:b/>
          <w:color w:val="003366"/>
          <w:sz w:val="23"/>
        </w:rPr>
        <w:t>4. SOLICITAÇÃO DE DELIBERAÇÃO E ENCAMINHAMENTO</w:t>
      </w:r>
    </w:p>
    <w:p>
      <w:pPr>
        <w:spacing w:before="0" w:after="120" w:line="276" w:lineRule="auto"/>
      </w:pPr>
      <w:r>
        <w:rPr>
          <w:b/>
        </w:rPr>
        <w:t xml:space="preserve">4.1. </w:t>
      </w:r>
      <w:r>
        <w:t>Diante da instrução técnica concluída, solicita-se a V. Sa.: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1. </w:t>
      </w:r>
      <w:r>
        <w:t>AUTORIZAÇÃO para o prosseguimento da contratação da referida demanda de reforma estrutural da CAG;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2. </w:t>
      </w:r>
      <w:r>
        <w:t>APROVAÇÃO do Termo de Abertura de Processo (SEI nº 63453058) e do Documento de Formalização da Demanda;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3. </w:t>
      </w:r>
      <w:r>
        <w:t>TRAMITAÇÃO DO PROCESSO à unidade DCD-SRA-ES para continuidade dos atos preparatórios, elaboração do ETP/TR e demais providências administrativas de licitação.</w:t>
      </w:r>
    </w:p>
    <w:p>
      <w:pPr>
        <w:spacing w:before="320" w:after="480"/>
      </w:pPr>
      <w:r>
        <w:t>Vitória/ES, 10 de agosto de 2026.</w:t>
      </w:r>
    </w:p>
    <w:p>
      <w:pPr>
        <w:spacing w:before="320" w:after="40"/>
        <w:jc w:val="center"/>
      </w:pPr>
      <w:r>
        <w:rPr>
          <w:b/>
        </w:rPr>
        <w:t>_____________________________________________________</w:t>
        <w:br/>
      </w:r>
      <w:r>
        <w:rPr>
          <w:b/>
          <w:sz w:val="22"/>
        </w:rPr>
        <w:t>Eng.º Luis Fernando Dias</w:t>
        <w:br/>
      </w:r>
      <w:r>
        <w:rPr>
          <w:color w:val="555555"/>
          <w:sz w:val="20"/>
        </w:rPr>
        <w:t>Engenheiro Civil / Responsável Técnico</w:t>
        <w:br/>
        <w:t>Serviço de Engenharia e Arquitetura — SRA/ES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