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3366"/>
          <w:sz w:val="26"/>
        </w:rPr>
        <w:t>MINISTÉRIO DA GESTÃO E DA INOVAÇÃO EM SERVIÇOS PÚBLICOS — MGI</w:t>
      </w:r>
    </w:p>
    <w:p>
      <w:pPr>
        <w:spacing w:before="0" w:after="240"/>
        <w:jc w:val="center"/>
      </w:pPr>
      <w:r>
        <w:rPr>
          <w:b/>
          <w:color w:val="555555"/>
          <w:sz w:val="22"/>
        </w:rPr>
        <w:t>SUPERINTENDÊNCIA REGIONAL DE ADMINISTRAÇÃO NO ESPÍRITO SANTO — SRA/ES</w:t>
      </w:r>
    </w:p>
    <w:p>
      <w:pPr>
        <w:spacing w:after="120"/>
      </w:pPr>
    </w:p>
    <w:p>
      <w:pPr>
        <w:spacing w:before="240" w:after="280"/>
        <w:jc w:val="center"/>
      </w:pPr>
      <w:r>
        <w:rPr>
          <w:b/>
          <w:color w:val="003366"/>
          <w:sz w:val="28"/>
        </w:rPr>
        <w:t>TERMO DE ABERTURA DE PROCESSO / DESPACHO DE INSTAURAÇÃO SEI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3168"/>
            <w:shd w:fill="F4F6F9"/>
          </w:tcPr>
          <w:p>
            <w:pPr>
              <w:spacing w:after="40"/>
            </w:pPr>
            <w:r>
              <w:rPr>
                <w:b/>
                <w:sz w:val="20"/>
              </w:rPr>
              <w:t>PROCESSO SEI N.º:</w:t>
            </w:r>
          </w:p>
        </w:tc>
        <w:tc>
          <w:tcPr>
            <w:tcW w:type="dxa" w:w="6192"/>
            <w:shd w:fill="F4F6F9"/>
          </w:tcPr>
          <w:p>
            <w:pPr>
              <w:spacing w:after="40"/>
            </w:pPr>
            <w:r>
              <w:rPr>
                <w:sz w:val="20"/>
              </w:rPr>
              <w:t>[Inserir N.º do Processo SEI — ex: 14022.XXXXXX/2026-XX]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40"/>
            </w:pPr>
            <w:r>
              <w:rPr>
                <w:b/>
                <w:sz w:val="20"/>
              </w:rPr>
              <w:t>UNIDADE DEMANDANTE:</w:t>
            </w:r>
          </w:p>
        </w:tc>
        <w:tc>
          <w:tcPr>
            <w:tcW w:type="dxa" w:w="6192"/>
            <w:shd w:fill="F4F6F9"/>
          </w:tcPr>
          <w:p>
            <w:pPr>
              <w:spacing w:after="40"/>
            </w:pPr>
            <w:r>
              <w:rPr>
                <w:sz w:val="20"/>
              </w:rPr>
              <w:t>Serviço de Engenharia e Arquitetura / Divisão de Recursos Logísticos (SRA/ES)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40"/>
            </w:pPr>
            <w:r>
              <w:rPr>
                <w:b/>
                <w:sz w:val="20"/>
              </w:rPr>
              <w:t>TIPO DE PROCESSO SEI:</w:t>
            </w:r>
          </w:p>
        </w:tc>
        <w:tc>
          <w:tcPr>
            <w:tcW w:type="dxa" w:w="6192"/>
            <w:shd w:fill="F4F6F9"/>
          </w:tcPr>
          <w:p>
            <w:pPr>
              <w:spacing w:after="40"/>
            </w:pPr>
            <w:r>
              <w:rPr>
                <w:sz w:val="20"/>
              </w:rPr>
              <w:t>Licitações: Obras e Serviços de Engenharia / Contratação Direta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40"/>
            </w:pPr>
            <w:r>
              <w:rPr>
                <w:b/>
                <w:sz w:val="20"/>
              </w:rPr>
              <w:t>ASSUNTO:</w:t>
            </w:r>
          </w:p>
        </w:tc>
        <w:tc>
          <w:tcPr>
            <w:tcW w:type="dxa" w:w="6192"/>
            <w:shd w:fill="F4F6F9"/>
          </w:tcPr>
          <w:p>
            <w:pPr>
              <w:spacing w:after="40"/>
            </w:pPr>
            <w:r>
              <w:rPr>
                <w:sz w:val="20"/>
              </w:rPr>
              <w:t>Abertura de Processo de Contratação para Reforma e Adequação Estrutural da Central de Água Gelada (CAG) do Edifício-Sede MGI/ES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003366"/>
          <w:sz w:val="24"/>
        </w:rPr>
        <w:t>1. DO OBJETO</w:t>
      </w:r>
    </w:p>
    <w:p>
      <w:pPr>
        <w:spacing w:before="0" w:after="120" w:line="276" w:lineRule="auto"/>
      </w:pPr>
      <w:r>
        <w:rPr>
          <w:b/>
        </w:rPr>
        <w:t xml:space="preserve">1.1. </w:t>
      </w:r>
      <w:r>
        <w:t>O presente processo tem por objeto a contratação de empresa especializada em engenharia civil e mecânica para a execução de obras e serviços de reforma, modernização e adequação estrutural da suporte da Central de Água Gelada (CAG) localizada no Edifício-Sede do Ministério da Gestão e da Inovação em Serviços Públicos no Estado do Espírito Santo (MGI/ES), conforme especificações constantes da Planilha Orçamentária Detalhada (Revisão 2) e do Caderno de Encargos/Especificações Técnicas.</w:t>
      </w:r>
    </w:p>
    <w:p>
      <w:pPr>
        <w:spacing w:before="0" w:after="120" w:line="276" w:lineRule="auto"/>
      </w:pPr>
      <w:r>
        <w:rPr>
          <w:b/>
        </w:rPr>
        <w:t xml:space="preserve">1.2. </w:t>
      </w:r>
      <w:r>
        <w:t>A intervenção engloba: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Carrinho e Trilhos de Movimentação: </w:t>
      </w:r>
      <w:r>
        <w:t>Fabricação e instalação de carrinho metálico de movimentação de carga (1,00 x 2,50 m) em perfil U 3", piso duplo em chapa de aço 4 mm e chapa xadrez de alumínio antiderrapante 2 mm, roldanas industriais de 2.1/2" c/ rolamentos blindados e pintura epóxi alcatrão de hulha (100 μm), acompanhado de estrutura metálica de elevação e trilho maciço em barra redonda de 3/4" (450 kg de aço).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Passarela Metálica de Acesso: </w:t>
      </w:r>
      <w:r>
        <w:t>Prolongamento de 2,00 m (2,00 m²) em perfis I 4", piso antiderrapante, guarda-corpo galvanizado 1" h=1,10m e escada de acesso.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Reforma e Adequação do Guindaste (Grua da CAG): </w:t>
      </w:r>
      <w:r>
        <w:t>Manutenção e readequação da grua rotativa, incluindo lança I 100 mm (2,00 m), cabo de aço 3/8" c/ esticador 1,5t, contrapeso em concreto C20 (280 kg), substituição do tubo guia interno sem costura DN 8" Sch 40 (L=5,0 m), 03 flanges anelares e=5/8" H=30 mm e orifício de engraxamento com niple/tampão 1/2".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Estrutura de Sustentação dos Chillers, Compressores e Tanques: </w:t>
      </w:r>
      <w:r>
        <w:t>32 suportes metálicos de elevação no piso h=0,20 m c/ manta antivibratória nitrílica 30 mm; 24 suportes verticais do Chiller perfil I 4"x2" h=2,0 m c/ parafusos M16; 16 suportes do tanque de condensação cantoneira 1.3/4"x1/4" c/ manta 30 mm; longarinas e vigas I laminadas W150x22,5 (2.060 kg de aço carbono ASTM A36) com pintura epóxi bicomponente (100 μm).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Caixas de Isolamento de Condensação: </w:t>
      </w:r>
      <w:r>
        <w:t>06 caixas em alumínio naval 2,5 mm (54x20x50 cm) preenchidas c/ espuma expansiva epóxi A+B p/ motobombas de 20 e 25 CV.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Sistema de Cobertura, Calhas e Proteção Coletiva: </w:t>
      </w:r>
      <w:r>
        <w:t>Cobertura Galvalume 0,50 mm pré-pintada branca (28,50 m²), calhas em alumínio dobrado 3,0 mm (16,10 m), guarda-corpo em tubos de aço inox AISI 304 escovado/polido (22,0 m) e escada metálica inox de acesso à cobertura.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Serviços Complementares: </w:t>
      </w:r>
      <w:r>
        <w:t>Remoção/reinstalação técnica de telhado metálico existente (20,0 m²) e limpeza geral com destinação licenciada de resíduos e emissão de MTR (120,0 m²).</w:t>
      </w:r>
    </w:p>
    <w:p>
      <w:pPr>
        <w:keepNext/>
        <w:spacing w:before="320" w:after="120"/>
      </w:pPr>
      <w:r>
        <w:rPr>
          <w:b/>
          <w:color w:val="003366"/>
          <w:sz w:val="24"/>
        </w:rPr>
        <w:t>2. DA JUSTIFICATIVA DA NECESSIDADE DA CONTRATAÇÃO</w:t>
      </w:r>
    </w:p>
    <w:p>
      <w:pPr>
        <w:spacing w:before="0" w:after="120" w:line="276" w:lineRule="auto"/>
      </w:pPr>
      <w:r>
        <w:rPr>
          <w:b/>
        </w:rPr>
        <w:t xml:space="preserve">2.1. </w:t>
      </w:r>
      <w:r>
        <w:t>A Central de Água Gelada (CAG) é o componente crítico e essencial do sistema de climatização central do Edifício-Sede do MGI/ES, responsável por assegurar conforto térmico, renovação de ar e condições ambientais adequadas de trabalho para os servidores e usuários públicos, em estrito atendimento à Portaria MS nº 3.523/1998 e Resolução ANVISA RE nº 09/2003.</w:t>
      </w:r>
    </w:p>
    <w:p>
      <w:pPr>
        <w:spacing w:before="0" w:after="120" w:line="276" w:lineRule="auto"/>
      </w:pPr>
      <w:r>
        <w:rPr>
          <w:b/>
        </w:rPr>
        <w:t xml:space="preserve">2.2. </w:t>
      </w:r>
      <w:r>
        <w:t>A estrutura metálica atual de suporte dos equipamentos e compressores apresenta desgaste, oxidação severa e necessidade de reforços dinâmicos e antivibratórios, além de ausência de mecanismos seguros de movimentação para manutenção pesada de bombas e rotores, gerando riscos de paralisação inopinada do sistema de ar-condicionado e riscos de acidentes de trabalho (atendimento às NRs 11, 12, 18 e 35).</w:t>
      </w:r>
    </w:p>
    <w:p>
      <w:pPr>
        <w:spacing w:before="0" w:after="120" w:line="276" w:lineRule="auto"/>
      </w:pPr>
      <w:r>
        <w:rPr>
          <w:b/>
        </w:rPr>
        <w:t xml:space="preserve">2.3. </w:t>
      </w:r>
      <w:r>
        <w:t>Desta forma, a execução da reforma e adequação estrutural visa restabelecer a segurança operacional, prolongar a vida útil dos compressores e chillers, evitar vibrações excessivas na laje estrutural e garantir a continuidade das atividades administrativas do órgão.</w:t>
      </w:r>
    </w:p>
    <w:p>
      <w:pPr>
        <w:keepNext/>
        <w:spacing w:before="320" w:after="120"/>
      </w:pPr>
      <w:r>
        <w:rPr>
          <w:b/>
          <w:color w:val="003366"/>
          <w:sz w:val="24"/>
        </w:rPr>
        <w:t>3. DA ESTIMATIVA DO VALOR DA CONTRATAÇÃO</w:t>
      </w:r>
    </w:p>
    <w:p>
      <w:pPr>
        <w:spacing w:before="0" w:after="120" w:line="276" w:lineRule="auto"/>
      </w:pPr>
      <w:r>
        <w:rPr>
          <w:b/>
        </w:rPr>
        <w:t xml:space="preserve">3.1. </w:t>
      </w:r>
      <w:r>
        <w:t>O valor total estimado para a contratação é de R$ 176.849,07 (cento e setenta e seis mil, oitocentos e quarenta e nove reais e sete centavos), resultante da soma do Custo Direto dos Serviços com a aplicação da Bonificação e Despesas Indiretas (BDI).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54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Componente Orçamentário</w:t>
            </w:r>
          </w:p>
        </w:tc>
        <w:tc>
          <w:tcPr>
            <w:tcW w:type="dxa" w:w="235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(R$)</w:t>
            </w:r>
          </w:p>
        </w:tc>
        <w:tc>
          <w:tcPr>
            <w:tcW w:type="dxa" w:w="235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Percentual (%)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896"/>
            <w:shd w:fill="FFFFFF"/>
          </w:tcPr>
          <w:p>
            <w:pPr>
              <w:spacing w:after="40"/>
              <w:jc w:val="left"/>
            </w:pPr>
            <w:r>
              <w:rPr>
                <w:sz w:val="20"/>
              </w:rPr>
              <w:t>Custo Direto Total (Insumos, Mão de Obra e Equipamentos)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  <w:jc w:val="center"/>
            </w:pPr>
            <w:r>
              <w:rPr>
                <w:sz w:val="20"/>
              </w:rPr>
              <w:t>R$ 141.491,44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  <w:jc w:val="center"/>
            </w:pPr>
            <w:r>
              <w:rPr>
                <w:sz w:val="20"/>
              </w:rPr>
              <w:t>80,00%</w:t>
            </w:r>
          </w:p>
        </w:tc>
      </w:tr>
      <w:tr>
        <w:tc>
          <w:tcPr>
            <w:tcW w:type="dxa" w:w="1152"/>
            <w:shd w:fill="F8F9FA"/>
          </w:tcPr>
          <w:p>
            <w:pPr>
              <w:spacing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4896"/>
            <w:shd w:fill="F8F9FA"/>
          </w:tcPr>
          <w:p>
            <w:pPr>
              <w:spacing w:after="40"/>
              <w:jc w:val="left"/>
            </w:pPr>
            <w:r>
              <w:rPr>
                <w:sz w:val="20"/>
              </w:rPr>
              <w:t>Bonificação e Despesas Indiretas — BDI (Taxa de 25,00%)</w:t>
            </w:r>
          </w:p>
        </w:tc>
        <w:tc>
          <w:tcPr>
            <w:tcW w:type="dxa" w:w="1872"/>
            <w:shd w:fill="F8F9FA"/>
          </w:tcPr>
          <w:p>
            <w:pPr>
              <w:spacing w:after="40"/>
              <w:jc w:val="center"/>
            </w:pPr>
            <w:r>
              <w:rPr>
                <w:sz w:val="20"/>
              </w:rPr>
              <w:t>R$ 35.357,63</w:t>
            </w:r>
          </w:p>
        </w:tc>
        <w:tc>
          <w:tcPr>
            <w:tcW w:type="dxa" w:w="1440"/>
            <w:shd w:fill="F8F9FA"/>
          </w:tcPr>
          <w:p>
            <w:pPr>
              <w:spacing w:after="40"/>
              <w:jc w:val="center"/>
            </w:pPr>
            <w:r>
              <w:rPr>
                <w:sz w:val="20"/>
              </w:rPr>
              <w:t>20,00%</w:t>
            </w:r>
          </w:p>
        </w:tc>
      </w:tr>
      <w:tr>
        <w:tc>
          <w:tcPr>
            <w:tcW w:type="dxa" w:w="1152"/>
            <w:shd w:fill="E9ECEF"/>
          </w:tcPr>
          <w:p>
            <w:pPr>
              <w:spacing w:after="40"/>
              <w:jc w:val="center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4896"/>
            <w:shd w:fill="E9ECEF"/>
          </w:tcPr>
          <w:p>
            <w:pPr>
              <w:spacing w:after="40"/>
              <w:jc w:val="left"/>
            </w:pPr>
            <w:r>
              <w:rPr>
                <w:b/>
                <w:sz w:val="20"/>
              </w:rPr>
              <w:t>VALOR GERAL ESTIMADO DA OBRA/SERVIÇO</w:t>
            </w:r>
          </w:p>
        </w:tc>
        <w:tc>
          <w:tcPr>
            <w:tcW w:type="dxa" w:w="1872"/>
            <w:shd w:fill="E9ECEF"/>
          </w:tcPr>
          <w:p>
            <w:pPr>
              <w:spacing w:after="40"/>
              <w:jc w:val="center"/>
            </w:pPr>
            <w:r>
              <w:rPr>
                <w:b/>
                <w:sz w:val="20"/>
              </w:rPr>
              <w:t>R$ 176.849,07</w:t>
            </w:r>
          </w:p>
        </w:tc>
        <w:tc>
          <w:tcPr>
            <w:tcW w:type="dxa" w:w="1440"/>
            <w:shd w:fill="E9ECEF"/>
          </w:tcPr>
          <w:p>
            <w:pPr>
              <w:spacing w:after="40"/>
              <w:jc w:val="center"/>
            </w:pPr>
            <w:r>
              <w:rPr>
                <w:b/>
                <w:sz w:val="20"/>
              </w:rPr>
              <w:t>100,00%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b/>
        </w:rPr>
        <w:t xml:space="preserve">3.2. </w:t>
      </w:r>
      <w:r>
        <w:t>Os preços de referência foram obtidos mediante combinação das tabelas oficiais SINAPI-ES (Caixa Econômica Federal), IOPES-ES, ORSE, SIURB, SICRO3 e ampla Pesquisa de Mercado com 03 (três) cotações independentes de fornecedores especializados da Região Metropolitana de Vitória/ES (Vitória, Serra e Vila Velha), atendendo rigorosamente à Instrução Normativa SEGES/ME nº 65/2021 e ao Acórdão TCU nº 2.622/2013.</w:t>
      </w:r>
    </w:p>
    <w:p>
      <w:pPr>
        <w:keepNext/>
        <w:spacing w:before="320" w:after="120"/>
      </w:pPr>
      <w:r>
        <w:rPr>
          <w:b/>
          <w:color w:val="003366"/>
          <w:sz w:val="24"/>
        </w:rPr>
        <w:t>4. DO ENQUADRAMENTO LEGAL</w:t>
      </w:r>
    </w:p>
    <w:p>
      <w:pPr>
        <w:spacing w:before="0" w:after="120" w:line="276" w:lineRule="auto"/>
      </w:pPr>
      <w:r>
        <w:rPr>
          <w:b/>
        </w:rPr>
        <w:t xml:space="preserve">4.1. </w:t>
      </w:r>
      <w:r>
        <w:t>A presente contratação enquadra-se nos ditames da Lei Federal nº 14.133, de 1º de abril de 2021 (Nova Lei de Licitações e Contratos Administrativos), regulamentada no âmbito da Administração Pública Federal pelos Decretos nº 11.246/2022, nº 10.971/2022 e IN SEGES/ME nº 65/2021.</w:t>
      </w:r>
    </w:p>
    <w:p>
      <w:pPr>
        <w:spacing w:before="0" w:after="120" w:line="276" w:lineRule="auto"/>
      </w:pPr>
      <w:r>
        <w:rPr>
          <w:b/>
        </w:rPr>
        <w:t xml:space="preserve">4.2. </w:t>
      </w:r>
      <w:r>
        <w:t>O regime de execução adotado será a Empreitada por Preço Unitário, tendo em vista a precisão das especificações executivas e a discriminação itemizada das composições analíticas (CPUs).</w:t>
      </w:r>
    </w:p>
    <w:p>
      <w:pPr>
        <w:keepNext/>
        <w:spacing w:before="320" w:after="120"/>
      </w:pPr>
      <w:r>
        <w:rPr>
          <w:b/>
          <w:color w:val="003366"/>
          <w:sz w:val="24"/>
        </w:rPr>
        <w:t>5. DA EQUIPE DE PLANEJAMENTO DA CONTRATAÇÃO</w:t>
      </w:r>
    </w:p>
    <w:p>
      <w:pPr>
        <w:spacing w:before="0" w:after="120" w:line="276" w:lineRule="auto"/>
      </w:pPr>
      <w:r>
        <w:rPr>
          <w:b/>
        </w:rPr>
        <w:t xml:space="preserve">5.1. </w:t>
      </w:r>
      <w:r>
        <w:t>Para a condução da fase preparatória da licitação/contratação, sugere-se a designação da seguinte Equipe de Planejamento: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Integrante Técnico (Responsável pela Especificação Orçamentária): </w:t>
      </w:r>
      <w:r>
        <w:t>Eng.º Luis Fernando Dias — CREA-ES.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Integrante Requisitante: </w:t>
      </w:r>
      <w:r>
        <w:t>[Nome do Servidor / Cargo / Matrícula SIAPE]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Integrante Administrativo: </w:t>
      </w:r>
      <w:r>
        <w:t>[Nome do Servidor / Cargo / Matrícula SIAPE]</w:t>
      </w:r>
    </w:p>
    <w:p>
      <w:pPr>
        <w:keepNext/>
        <w:spacing w:before="320" w:after="120"/>
      </w:pPr>
      <w:r>
        <w:rPr>
          <w:b/>
          <w:color w:val="003366"/>
          <w:sz w:val="24"/>
        </w:rPr>
        <w:t>6. DOCUMENTOS QUE INSTRUEM ESTA ABERTURA</w:t>
      </w:r>
    </w:p>
    <w:p>
      <w:pPr>
        <w:spacing w:before="0" w:after="120" w:line="276" w:lineRule="auto"/>
      </w:pPr>
      <w:r>
        <w:t>Ficam juntados a esta peça inicial e autuados no presente processo SEI os seguintes documentos técnicos da Central Orca: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1. </w:t>
      </w:r>
      <w:r>
        <w:t>Especificação Técnica Detalhada dos Serviços — Reforma da CAG (especificacao_tecnica_cag.md);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2. </w:t>
      </w:r>
      <w:r>
        <w:t>Planilha Orçamentária Detalhada e Sintética — Revisão 2 (planilha_orcamentaria_cag_rev2.md);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3. </w:t>
      </w:r>
      <w:r>
        <w:t>Memoriais Descritivos e Composições Analíticas de Preço (COMP-CAG-01 a COMP-CAG-15);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4. </w:t>
      </w:r>
      <w:r>
        <w:t>Relatório de Pesquisa de Mercado com 3 Cotações de Fornecedores Locais (IN 65/2021);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5. </w:t>
      </w:r>
      <w:r>
        <w:t>Demonstrativo de Cálculo da Taxa de BDI (25,00%).</w:t>
      </w:r>
    </w:p>
    <w:p>
      <w:pPr>
        <w:keepNext/>
        <w:spacing w:before="320" w:after="120"/>
      </w:pPr>
      <w:r>
        <w:rPr>
          <w:b/>
          <w:color w:val="003366"/>
          <w:sz w:val="24"/>
        </w:rPr>
        <w:t>7. ENCAMINHAMENTO E DELIBERAÇÃO</w:t>
      </w:r>
    </w:p>
    <w:p>
      <w:pPr>
        <w:spacing w:before="0" w:after="120" w:line="276" w:lineRule="auto"/>
      </w:pPr>
      <w:r>
        <w:rPr>
          <w:b/>
        </w:rPr>
        <w:t xml:space="preserve">7.1. </w:t>
      </w:r>
      <w:r>
        <w:t>Diante do exposto, submete-se o presente Termo de Abertura à apreciação da Superintendência Regional de Administração no Espírito Santo (SRA/ES) para: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a) </w:t>
      </w:r>
      <w:r>
        <w:t>Aprovação da instauração do processo administrativo de contratação;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b) </w:t>
      </w:r>
      <w:r>
        <w:t>Autuação e numeração oficial do processo no SEI-MGI;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c) </w:t>
      </w:r>
      <w:r>
        <w:t>Encaminhamento para elaboração formal do Estudo Técnico Preliminar (ETP) e do Termo de Referência (TR), com posterior remessa à Consultoria Jurídica da União (CJU/AGU) para parecer jurídico.</w:t>
      </w:r>
    </w:p>
    <w:p>
      <w:pPr>
        <w:spacing w:before="400" w:after="600"/>
      </w:pPr>
      <w:r>
        <w:t>Vitória/ES, 07 de agosto de 2026.</w:t>
      </w:r>
    </w:p>
    <w:p>
      <w:pPr>
        <w:spacing w:before="400" w:after="40"/>
        <w:jc w:val="center"/>
      </w:pPr>
      <w:r>
        <w:rPr>
          <w:b/>
        </w:rPr>
        <w:t>_____________________________________________________</w:t>
        <w:br/>
      </w:r>
      <w:r>
        <w:rPr>
          <w:b/>
          <w:sz w:val="22"/>
        </w:rPr>
        <w:t>Eng.º Luis Fernando Dias</w:t>
        <w:br/>
      </w:r>
      <w:r>
        <w:rPr>
          <w:color w:val="555555"/>
          <w:sz w:val="20"/>
        </w:rPr>
        <w:t>Engenheiro Civil / Responsável Técnico</w:t>
        <w:br/>
        <w:t>Central Orca — SRA/MGI-ES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