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MEMORIAL DE JUSTIFICATIVA TÉCNICA E CÁLCULO DO BDI (25,00%)</w:t>
            </w:r>
          </w:p>
          <w:p>
            <w:pPr>
              <w:spacing w:before="40" w:after="0"/>
              <w:jc w:val="center"/>
            </w:pPr>
            <w:r>
              <w:rPr>
                <w:i/>
                <w:color w:val="E0E0E0"/>
                <w:sz w:val="17"/>
              </w:rPr>
              <w:t>Serviço: Substituição das Chapas de Inox nos Tetos dos Elevadores no Edifício Sede MGI/ES | Vitória/ES | Regime Desonerado</w:t>
            </w:r>
          </w:p>
        </w:tc>
      </w:tr>
    </w:tbl>
    <w:p>
      <w:pPr>
        <w:spacing w:before="80" w:after="40"/>
      </w:pPr>
    </w:p>
    <w:p>
      <w:pPr>
        <w:spacing w:before="80" w:after="40"/>
      </w:pPr>
      <w:r>
        <w:rPr>
          <w:b/>
          <w:color w:val="1F4E78"/>
          <w:sz w:val="19"/>
        </w:rPr>
        <w:t>1. OBJETO E MARCO REFERENCIAL (ACÓRDÃO TCU Nº 2.622/2013 – PLENÁRIO)</w:t>
      </w:r>
    </w:p>
    <w:p>
      <w:pPr>
        <w:spacing w:before="0" w:after="80" w:line="252" w:lineRule="auto"/>
        <w:jc w:val="both"/>
      </w:pPr>
      <w:r>
        <w:t>O presente memorial fundamenta a adoção da taxa de BDI de 25,00% (Desonerado) para os serviços de fabricação, fornecimento e substituição das chapas de aço inox escovado/espelhado nos tetos das cabinas dos elevadores do Edifício Sede MGI/ES. Conforme o Acórdão TCU nº 2.622/2013 (Construção e Reforma de Edifícios), a faixa referencial situa-se entre 20,34% (1º Quartil), 22,12% (Médio) e 25,00% (3º Quartil). Demonstra-se a seguir que a opção pelo 3º Quartil (25,00%) decorre estritamente da alíquota tributária municipal local e da elevadíssima restrição operacional de execução em elevadores ativos.</w:t>
      </w:r>
    </w:p>
    <w:p>
      <w:pPr>
        <w:spacing w:before="80" w:after="40"/>
      </w:pPr>
      <w:r>
        <w:rPr>
          <w:b/>
          <w:color w:val="1F4E78"/>
          <w:sz w:val="19"/>
        </w:rPr>
        <w:t>2. COMPOSIÇÃO ANALÍTICA DA TAXA DE BDI ADOTADA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</w:tblGrid>
      <w:tr>
        <w:tc>
          <w:tcPr>
            <w:tcW w:type="dxa" w:w="1728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Item</w:t>
            </w:r>
          </w:p>
        </w:tc>
        <w:tc>
          <w:tcPr>
            <w:tcW w:type="dxa" w:w="3312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Discriminativo do Parâmetro</w:t>
            </w:r>
          </w:p>
        </w:tc>
        <w:tc>
          <w:tcPr>
            <w:tcW w:type="dxa" w:w="1152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Taxa (%)</w:t>
            </w:r>
          </w:p>
        </w:tc>
        <w:tc>
          <w:tcPr>
            <w:tcW w:type="dxa" w:w="2160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Faixa TCU (Acór. 2622/13)</w:t>
            </w:r>
          </w:p>
        </w:tc>
        <w:tc>
          <w:tcPr>
            <w:tcW w:type="dxa" w:w="1872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Enquadramento</w:t>
            </w:r>
          </w:p>
        </w:tc>
      </w:tr>
      <w:tr>
        <w:tc>
          <w:tcPr>
            <w:tcW w:type="dxa" w:w="172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A</w:t>
            </w:r>
          </w:p>
        </w:tc>
        <w:tc>
          <w:tcPr>
            <w:tcW w:type="dxa" w:w="331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Administração Central (AC)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3,38%</w:t>
            </w:r>
          </w:p>
        </w:tc>
        <w:tc>
          <w:tcPr>
            <w:tcW w:type="dxa" w:w="216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3,00% - 4,00% - 5,50%</w:t>
            </w:r>
          </w:p>
        </w:tc>
        <w:tc>
          <w:tcPr>
            <w:tcW w:type="dxa" w:w="187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Abaixo da Média</w:t>
            </w:r>
          </w:p>
        </w:tc>
      </w:tr>
      <w:tr>
        <w:tc>
          <w:tcPr>
            <w:tcW w:type="dxa" w:w="1728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B</w:t>
            </w:r>
          </w:p>
        </w:tc>
        <w:tc>
          <w:tcPr>
            <w:tcW w:type="dxa" w:w="331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Riscos (R)</w:t>
            </w:r>
          </w:p>
        </w:tc>
        <w:tc>
          <w:tcPr>
            <w:tcW w:type="dxa" w:w="115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0,85%</w:t>
            </w:r>
          </w:p>
        </w:tc>
        <w:tc>
          <w:tcPr>
            <w:tcW w:type="dxa" w:w="2160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0,56% - 0,97% - 1,21%</w:t>
            </w:r>
          </w:p>
        </w:tc>
        <w:tc>
          <w:tcPr>
            <w:tcW w:type="dxa" w:w="187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Abaixo da Média</w:t>
            </w:r>
          </w:p>
        </w:tc>
      </w:tr>
      <w:tr>
        <w:tc>
          <w:tcPr>
            <w:tcW w:type="dxa" w:w="172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C</w:t>
            </w:r>
          </w:p>
        </w:tc>
        <w:tc>
          <w:tcPr>
            <w:tcW w:type="dxa" w:w="331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Seguros e Garantias (S)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0,48%</w:t>
            </w:r>
          </w:p>
        </w:tc>
        <w:tc>
          <w:tcPr>
            <w:tcW w:type="dxa" w:w="216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0,80% - 0,80% - 1,00%</w:t>
            </w:r>
          </w:p>
        </w:tc>
        <w:tc>
          <w:tcPr>
            <w:tcW w:type="dxa" w:w="187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Abaixo do 1º Quartil</w:t>
            </w:r>
          </w:p>
        </w:tc>
      </w:tr>
      <w:tr>
        <w:tc>
          <w:tcPr>
            <w:tcW w:type="dxa" w:w="1728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D</w:t>
            </w:r>
          </w:p>
        </w:tc>
        <w:tc>
          <w:tcPr>
            <w:tcW w:type="dxa" w:w="331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Despesas Financeiras (DF)</w:t>
            </w:r>
          </w:p>
        </w:tc>
        <w:tc>
          <w:tcPr>
            <w:tcW w:type="dxa" w:w="115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0,85%</w:t>
            </w:r>
          </w:p>
        </w:tc>
        <w:tc>
          <w:tcPr>
            <w:tcW w:type="dxa" w:w="2160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0,49% - 0,59% - 1,39%</w:t>
            </w:r>
          </w:p>
        </w:tc>
        <w:tc>
          <w:tcPr>
            <w:tcW w:type="dxa" w:w="187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Dentro da Faixa</w:t>
            </w:r>
          </w:p>
        </w:tc>
      </w:tr>
      <w:tr>
        <w:tc>
          <w:tcPr>
            <w:tcW w:type="dxa" w:w="172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E</w:t>
            </w:r>
          </w:p>
        </w:tc>
        <w:tc>
          <w:tcPr>
            <w:tcW w:type="dxa" w:w="331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Lucro / Remuneração (L)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6,00%</w:t>
            </w:r>
          </w:p>
        </w:tc>
        <w:tc>
          <w:tcPr>
            <w:tcW w:type="dxa" w:w="216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6,16% - 7,40% - 8,96%</w:t>
            </w:r>
          </w:p>
        </w:tc>
        <w:tc>
          <w:tcPr>
            <w:tcW w:type="dxa" w:w="187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Abaixo do 1º Quartil</w:t>
            </w:r>
          </w:p>
        </w:tc>
      </w:tr>
      <w:tr>
        <w:tc>
          <w:tcPr>
            <w:tcW w:type="dxa" w:w="1728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F</w:t>
            </w:r>
          </w:p>
        </w:tc>
        <w:tc>
          <w:tcPr>
            <w:tcW w:type="dxa" w:w="331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Impostos (I) - ISS 5% + PIS/COFINS/CPRB</w:t>
            </w:r>
          </w:p>
        </w:tc>
        <w:tc>
          <w:tcPr>
            <w:tcW w:type="dxa" w:w="115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10,45%</w:t>
            </w:r>
          </w:p>
        </w:tc>
        <w:tc>
          <w:tcPr>
            <w:tcW w:type="dxa" w:w="2160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Variável Municipal/Fed.</w:t>
            </w:r>
          </w:p>
        </w:tc>
        <w:tc>
          <w:tcPr>
            <w:tcW w:type="dxa" w:w="187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Teto Municipal Vitória</w:t>
            </w:r>
          </w:p>
        </w:tc>
      </w:tr>
      <w:tr>
        <w:tc>
          <w:tcPr>
            <w:tcW w:type="dxa" w:w="1728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3312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sz w:val="16"/>
              </w:rPr>
              <w:t>Fórmula TCU: [((1+AC+S+R)*(1+DF)*(1+L))/(1-I)] - 1</w:t>
            </w:r>
          </w:p>
        </w:tc>
        <w:tc>
          <w:tcPr>
            <w:tcW w:type="dxa" w:w="1152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9C0006"/>
                <w:sz w:val="16"/>
              </w:rPr>
              <w:t>25,00%</w:t>
            </w:r>
          </w:p>
        </w:tc>
        <w:tc>
          <w:tcPr>
            <w:tcW w:type="dxa" w:w="2160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sz w:val="16"/>
              </w:rPr>
              <w:t>20,34% - 22,12% - 25,00%</w:t>
            </w:r>
          </w:p>
        </w:tc>
        <w:tc>
          <w:tcPr>
            <w:tcW w:type="dxa" w:w="1872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3º Quartil (Limite)</w:t>
            </w:r>
          </w:p>
        </w:tc>
      </w:tr>
    </w:tbl>
    <w:p>
      <w:pPr>
        <w:spacing w:before="80" w:after="40"/>
      </w:pPr>
    </w:p>
    <w:p>
      <w:pPr>
        <w:spacing w:before="80" w:after="40"/>
      </w:pPr>
      <w:r>
        <w:rPr>
          <w:b/>
          <w:color w:val="1F4E78"/>
          <w:sz w:val="19"/>
        </w:rPr>
        <w:t>3. FUNDAMENTAÇÃO TÉCNICA DA ADOÇÃO DO 3º QUARTIL (25,00%)</w:t>
      </w:r>
    </w:p>
    <w:p>
      <w:pPr>
        <w:spacing w:before="40" w:after="60" w:line="252" w:lineRule="auto"/>
        <w:jc w:val="both"/>
      </w:pPr>
      <w:r>
        <w:rPr>
          <w:b/>
          <w:sz w:val="17"/>
        </w:rPr>
        <w:t xml:space="preserve">Fato 1 – Alíquota Máxima de ISS no Município de Vitória/ES (5,00%): </w:t>
      </w:r>
      <w:r>
        <w:rPr>
          <w:sz w:val="17"/>
        </w:rPr>
        <w:t>A mediana nacional do TCU considera ISS de 2% a 3%. O Município de Vitória aplica 5,00% (LC 60/2002), elevando a carga tributária faturada (I) para 10,45% (ISS 5% + COFINS 3% + PIS 0,65% + CPRB 1,80%). Na fórmula matemática [1/(1-I)], essa tributação local máxima desloca o BDI para 25,00%, mesmo com Lucro (6,00%) e Administração Central (3,38%) fixados abaixo da média do TCU.</w:t>
      </w:r>
    </w:p>
    <w:p>
      <w:pPr>
        <w:spacing w:before="40" w:after="60" w:line="252" w:lineRule="auto"/>
        <w:jc w:val="both"/>
      </w:pPr>
      <w:r>
        <w:rPr>
          <w:b/>
          <w:sz w:val="17"/>
        </w:rPr>
        <w:t xml:space="preserve">Fato 2 – Execução Fora do Expediente / Intervenção em Elevadores Ativos: </w:t>
      </w:r>
      <w:r>
        <w:rPr>
          <w:sz w:val="17"/>
        </w:rPr>
        <w:t>Para preservar a acessibilidade e o fluxo normal de servidores e usuários do Edifício Sede, os serviços deverão ocorrer em janelas de exceção (período noturno e finais de semana), mediante paralisação individualizada de cabinas, gerando adicionais noturnos e gestão operacional dedicada.</w:t>
      </w:r>
    </w:p>
    <w:p>
      <w:pPr>
        <w:spacing w:before="40" w:after="60" w:line="252" w:lineRule="auto"/>
        <w:jc w:val="both"/>
      </w:pPr>
      <w:r>
        <w:rPr>
          <w:b/>
          <w:sz w:val="17"/>
        </w:rPr>
        <w:t xml:space="preserve">Fato 3 – Trabalho em Espaço Confinado, Segurança (NR-35/33) e Precisão: </w:t>
      </w:r>
      <w:r>
        <w:rPr>
          <w:sz w:val="17"/>
        </w:rPr>
        <w:t>A remoção e instalação dos painéis de aço inox escovado/espelhado demandam gabaritos de alta precisão, integração com iluminação LED/sensores de cabina, manuseio cuidadoso contra empenamentos/riscos e rígida proteção de trabalho no passadiço/teto superior das cabinas.</w:t>
      </w:r>
    </w:p>
    <w:p>
      <w:pPr>
        <w:spacing w:before="80" w:after="40"/>
      </w:pPr>
      <w:r>
        <w:rPr>
          <w:b/>
          <w:color w:val="1F4E78"/>
          <w:sz w:val="19"/>
        </w:rPr>
        <w:t>4. CONCLUSÃO</w:t>
      </w:r>
    </w:p>
    <w:p>
      <w:pPr>
        <w:spacing w:before="0" w:after="120" w:line="252" w:lineRule="auto"/>
        <w:jc w:val="both"/>
      </w:pPr>
      <w:r>
        <w:t>A taxa de BDI de 25,00% é plenamente regular e justificável: encontra-se rigorosamente dentro dos limites legais do Acórdão TCU 2.622/2013, sendo impulsionada exclusivamente pela alíquota tributária de Vitória/ES (ISS 5%) e pelas severas restrições operacionais do serviço em elevadores operacionais de edifício público.</w:t>
      </w:r>
    </w:p>
    <w:p>
      <w:pPr>
        <w:spacing w:before="200" w:after="0"/>
        <w:jc w:val="center"/>
      </w:pPr>
      <w:r>
        <w:rPr>
          <w:sz w:val="16"/>
        </w:rPr>
        <w:t>____________________________________________________</w:t>
        <w:br/>
      </w:r>
      <w:r>
        <w:rPr>
          <w:b/>
          <w:sz w:val="17"/>
        </w:rPr>
        <w:t>Engenheiro Responsável Técnico – Orçamento de Obras</w:t>
        <w:br/>
      </w:r>
      <w:r>
        <w:rPr>
          <w:i/>
          <w:sz w:val="16"/>
        </w:rPr>
        <w:t>Central Orca | MGI/ES</w:t>
      </w:r>
    </w:p>
    <w:sectPr w:rsidR="00FC693F" w:rsidRPr="0006063C" w:rsidSect="00034616">
      <w:pgSz w:w="11909" w:h="16834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