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Limpeza Robotizada dos Dutos de Ar Condicionado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especializados de limpeza robotizada, escovação mecânica, desinfecção e sanitização da rede de dutos de ar condicionado (HVAC) do Edifício Sede MGI/ES. Conforme o Acórdão TCU nº 2.622/2013 (Prestação de Serviços Técnicos / Manutenção de Edifícios), a faixa referencial situa-se entre 20,34% (1º Quartil), 22,12% (Médio) e 25,00% (3º Quartil). Demonstra-se a seguir que a opção pelo limite superior (25,00%) decorre da carga tributária municipal local e das elevadas exigências sanitárias e tecnológicas da intervenção.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climatização/limpeza, elevando a carga tributária faturada (I) para 10,45% (ISS 5% + COFINS 3% + PIS 0,65% + CPRB 1,80%). Na fórmula matemática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Complexidade Tecnológica e Equipamentos de Alta Especificação: </w:t>
      </w:r>
      <w:r>
        <w:rPr>
          <w:sz w:val="17"/>
        </w:rPr>
        <w:t>O serviço emprega robôs de inspeção e escovação mecânica com vídeo HD em tempo real, centrais de aspiração com filtragem absoluta HEPA (retenção 99,97%), saneantes bactericidas homologados pela ANVISA e estanqueidade por balões pneumáticos. A depreciação, calibragem e insumos de robótica justificam a gestão operacional inclusa na taxa.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Operacional, Trabalho Noturno e Normas de Saúde (PMOC/ANVISA): </w:t>
      </w:r>
      <w:r>
        <w:rPr>
          <w:sz w:val="17"/>
        </w:rPr>
        <w:t>A intervenção exige paralisação e selamento por zonas fora do expediente administrativo (janelas noturnas/finais de semana) para impedir a dispersão de bioaerossóis no prédio ativo, cumprindo a Resolução RE 09/ANVISA e o PMOC (Portaria MS 3.523/98), implicando adicionais noturnos e NR-33/NR-35.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exigências sanitárias e tecnológicas da limpeza robotizada de HVAC em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