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B3A5C"/>
          <w:sz w:val="28"/>
        </w:rPr>
        <w:t>MINISTÉRIO DA GESTÃO E DA INOVAÇÃO EM SERVIÇOS PÚBLICOS</w:t>
      </w:r>
    </w:p>
    <w:p>
      <w:pPr>
        <w:spacing w:after="480"/>
        <w:jc w:val="center"/>
      </w:pPr>
      <w:r>
        <w:rPr>
          <w:rFonts w:ascii="Calibri" w:hAnsi="Calibri"/>
          <w:b/>
          <w:color w:val="2E5E8E"/>
          <w:sz w:val="24"/>
        </w:rPr>
        <w:t>SUPERINTENDÊNCIA DE ADMINISTRAÇÃO NO ESPÍRITO SANTO — SRAES</w:t>
      </w:r>
    </w:p>
    <w:p>
      <w:pPr>
        <w:jc w:val="center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/>
    <w:p/>
    <w:p>
      <w:pPr>
        <w:spacing w:after="160"/>
        <w:jc w:val="center"/>
      </w:pPr>
      <w:r>
        <w:rPr>
          <w:rFonts w:ascii="Calibri" w:hAnsi="Calibri"/>
          <w:b/>
          <w:color w:val="1B3A5C"/>
          <w:sz w:val="36"/>
        </w:rPr>
        <w:t>ESPECIFICAÇÃO TÉCNICA</w:t>
      </w:r>
    </w:p>
    <w:p>
      <w:pPr>
        <w:spacing w:after="160"/>
        <w:jc w:val="center"/>
      </w:pPr>
      <w:r>
        <w:rPr>
          <w:rFonts w:ascii="Calibri" w:hAnsi="Calibri"/>
          <w:b/>
          <w:color w:val="2E5E8E"/>
          <w:sz w:val="28"/>
        </w:rPr>
        <w:t>Pintura das Grades Metálicas</w:t>
        <w:br/>
        <w:t>no Entorno do Edifício Sede MGI/ES</w:t>
      </w:r>
    </w:p>
    <w:p>
      <w:pPr>
        <w:spacing w:after="480"/>
        <w:jc w:val="center"/>
      </w:pPr>
      <w:r>
        <w:rPr>
          <w:rFonts w:ascii="Calibri" w:hAnsi="Calibri"/>
          <w:b w:val="0"/>
          <w:color w:val="333333"/>
          <w:sz w:val="24"/>
        </w:rPr>
        <w:t>Vitória/ES</w:t>
      </w:r>
    </w:p>
    <w:p/>
    <w:p/>
    <w:p/>
    <w:p>
      <w:pPr>
        <w:spacing w:after="80"/>
        <w:jc w:val="center"/>
      </w:pPr>
      <w:r>
        <w:rPr>
          <w:rFonts w:ascii="Calibri" w:hAnsi="Calibri"/>
          <w:b w:val="0"/>
          <w:color w:val="333333"/>
          <w:sz w:val="24"/>
        </w:rPr>
        <w:t>Maio de 2026</w:t>
      </w:r>
    </w:p>
    <w:p>
      <w:pPr>
        <w:spacing w:after="120"/>
        <w:jc w:val="center"/>
      </w:pPr>
      <w:r>
        <w:rPr>
          <w:rFonts w:ascii="Calibri" w:hAnsi="Calibri"/>
          <w:b/>
          <w:color w:val="2E5E8E"/>
          <w:sz w:val="22"/>
        </w:rPr>
        <w:t>Setor de Engenharia — SRAES/MGI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1. OBJETO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Contratação de empresa especializada para execução dos serviços de pintura das grades metálicas e recuperação estrutural (reparos por solda, troca de peças danificadas e ponteiras) nas grades de proteção e delimitação do entorno do Edifício Sede do Ministério da Gestão e da Inovação em Serviços Públicos (MGI), localizado em Vitória/ES.</w:t>
      </w:r>
    </w:p>
    <w:p>
      <w:pPr>
        <w:spacing w:after="200"/>
      </w:pPr>
      <w:r>
        <w:rPr>
          <w:rFonts w:ascii="Calibri" w:hAnsi="Calibri"/>
          <w:b w:val="0"/>
          <w:color w:val="333333"/>
          <w:sz w:val="22"/>
        </w:rPr>
        <w:t>Os serviços compreendem: lixamento mecânico das superfícies metálicas, aplicação de primer epóxi e duas demãos de tinta à base de epóxi na cor existente, além de reparos estruturais nas partes danificadas e corroídas, incluindo solda, complementação de peças, substituição de ponteiras e desamassamento de vergalhões.</w:t>
      </w:r>
    </w:p>
    <w:p>
      <w:pPr>
        <w:pStyle w:val="Heading1"/>
      </w:pPr>
      <w:r>
        <w:rPr>
          <w:rFonts w:ascii="Calibri" w:hAnsi="Calibri"/>
          <w:color w:val="1B3A5C"/>
        </w:rPr>
        <w:t>2. DADOS DA EDIFICAÇÃO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Edificação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Edifício Sede MGI/ES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Endereço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Rua Pietrangelo de Biase, 56 — Centro, Vitória/ES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Elemento construtivo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Grades metálicas de proteção e delimitação — entorno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Material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Aço carbono (vergalhões e barras) com ponteiras de ferro fundido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Área de pintura estimada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660 m²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Cor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Cor existente (confirmação pela fiscalização)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Sistema de pintura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Primer epóxi (1 demão) + tinta epóxi (2 demãos)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3. ESCOPO TÉCNICO — PINTURA DAS GRADES METÁLICAS</w:t>
      </w:r>
    </w:p>
    <w:p>
      <w:pPr>
        <w:pStyle w:val="Heading2"/>
      </w:pPr>
      <w:r>
        <w:rPr>
          <w:rFonts w:ascii="Calibri" w:hAnsi="Calibri"/>
          <w:color w:val="1B3A5C"/>
        </w:rPr>
        <w:t>3.1. Preparação da Superfície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Lixamento manual de todas as superfícies metálicas com lixa de ferro e/ou escova de aço rotativa, para remoção de carepas de ferrugem, tinta deteriorada, oxidação superficial e contaminantes aderidos;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Grau de limpeza mínimo St 2 conforme ABNT NBR 7348 (ISO 8501-1), obtendo superfície com brilho metálico visível, livre de escória, ferrugem solta e resíduos de tinta antiga sem aderência;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Remoção de toda poeira e resíduos do lixamento com pano limpo umedecido em solvente dielétrico antes da aplicação do primer;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Em áreas com corrosão avançada (perfuração ou redução de seção), executar lixamento até metal são e sinalizar para avaliação da equipe de recuperação estrutural (Item 4).</w:t>
      </w:r>
    </w:p>
    <w:p>
      <w:pPr>
        <w:pStyle w:val="Heading2"/>
      </w:pPr>
      <w:r>
        <w:rPr>
          <w:rFonts w:ascii="Calibri" w:hAnsi="Calibri"/>
          <w:color w:val="1B3A5C"/>
        </w:rPr>
        <w:t>3.2. Aplicação de Primer Epóxi (1ª camada)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Aplicação de uma demão de primer epóxi bicomponente sobre toda a superfície preparada;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Aplicação a rolo, pincel ou pistola airless, conforme geometria da peça, garantindo cobertura total e uniforme, inclusive em cantos, reentrâncias e soldas;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Espessura de filme seco mínima de 40 μm;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Tempo de secagem conforme ficha técnica do fabricante antes da aplicação do acabamento;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Cor do primer conforme recomendação do fabricante (preferencialmente diferente da cor de acabamento para permitir controle visual de cobertura).</w:t>
      </w:r>
    </w:p>
    <w:p>
      <w:pPr>
        <w:pStyle w:val="Heading2"/>
      </w:pPr>
      <w:r>
        <w:rPr>
          <w:rFonts w:ascii="Calibri" w:hAnsi="Calibri"/>
          <w:color w:val="1B3A5C"/>
        </w:rPr>
        <w:t>3.3. Pintura de Acabamento — Tinta Epóxi (2 demãos)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Aplicação de duas demãos de tinta à base de epóxi sobre o primer;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Aplicação a rolo, pincel ou pistola airless, conforme geometria da peça;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Cor: cor existente das grades, tonalidade confirmada pela fiscalização;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Intervalo mínimo entre demãos conforme ficha técnica (tipicamente 6 a 12 horas);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Espessura de filme seco mínima de 40 μm por demão (total ≥ 80 μm);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Espessura seca total do sistema (primer + 2 demãos): ≥ 120 μm.</w:t>
      </w:r>
    </w:p>
    <w:p>
      <w:pPr>
        <w:spacing w:after="80"/>
      </w:pPr>
      <w:r>
        <w:rPr>
          <w:rFonts w:ascii="Calibri" w:hAnsi="Calibri"/>
          <w:b/>
          <w:color w:val="333333"/>
          <w:sz w:val="22"/>
        </w:rPr>
        <w:t>Características técnicas mínimas da tinta epóxi: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402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5669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Especificação Mínima</w:t>
            </w:r>
          </w:p>
        </w:tc>
      </w:tr>
      <w:tr>
        <w:tc>
          <w:tcPr>
            <w:tcW w:type="dxa" w:w="3402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type="dxa" w:w="5669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Epóxi bicomponente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Resistência à corrosão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Excelente (ambientes agressivos — maresia)</w:t>
            </w:r>
          </w:p>
        </w:tc>
      </w:tr>
      <w:tr>
        <w:tc>
          <w:tcPr>
            <w:tcW w:type="dxa" w:w="3402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Resistência à abrasão</w:t>
            </w:r>
          </w:p>
        </w:tc>
        <w:tc>
          <w:tcPr>
            <w:tcW w:type="dxa" w:w="5669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Elevada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Teor de sólidos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≥ 50% em volume</w:t>
            </w:r>
          </w:p>
        </w:tc>
      </w:tr>
      <w:tr>
        <w:tc>
          <w:tcPr>
            <w:tcW w:type="dxa" w:w="3402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Espessura filme seco (por demão)</w:t>
            </w:r>
          </w:p>
        </w:tc>
        <w:tc>
          <w:tcPr>
            <w:tcW w:type="dxa" w:w="5669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≥ 40 μm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Intervalo entre demãos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Conforme ficha técnica (6–12h)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4. ESCOPO TÉCNICO — RECUPERAÇÃO ESTRUTURAL DAS GRADES</w:t>
      </w:r>
    </w:p>
    <w:p>
      <w:pPr>
        <w:pStyle w:val="Heading2"/>
      </w:pPr>
      <w:r>
        <w:rPr>
          <w:rFonts w:ascii="Calibri" w:hAnsi="Calibri"/>
          <w:color w:val="1B3A5C"/>
        </w:rPr>
        <w:t>4.1. Reparo por Solda e Recomposição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Inspeção visual completa de todas as grades para identificação de pontos de corrosão avançada, vergalhões rompidos, barras soltas e ponteiras danificadas;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Reparo por solda elétrica (eletrodo revestido AWS E6013, diâmetro 2,50 mm) em todas as partes danificadas, rompidas ou com perda de seção por corrosão;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Substituição e complementação de peças de aço CA-25 (diâmetros 10,0 a 25,0 mm) quando o vergalhão existente não admitir recuperação por solda;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Após soldagem, lixamento e acabamento dos cordões de solda para regularização e remoção de escória, respingos e rebarbas.</w:t>
      </w:r>
    </w:p>
    <w:p>
      <w:pPr>
        <w:pStyle w:val="Heading2"/>
      </w:pPr>
      <w:r>
        <w:rPr>
          <w:rFonts w:ascii="Calibri" w:hAnsi="Calibri"/>
          <w:color w:val="1B3A5C"/>
        </w:rPr>
        <w:t>4.2. Substituição de Ponteiras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Fornecimento e instalação de ponteiras de ferro fundido com 12 cm de altura, fixadas em barra redonda de 1¼", em substituição às ponteiras danificadas ou irrecuperáveis;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Fixação por solda e/ou encaixe com adesivo estrutural;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As ponteiras novas deverão ser idênticas ao modelo existente para manter uniformidade visual do gradil.</w:t>
      </w:r>
    </w:p>
    <w:p>
      <w:pPr>
        <w:pStyle w:val="Heading2"/>
      </w:pPr>
      <w:r>
        <w:rPr>
          <w:rFonts w:ascii="Calibri" w:hAnsi="Calibri"/>
          <w:color w:val="1B3A5C"/>
        </w:rPr>
        <w:t>4.3. Desamassamento de Vergalhões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Desamassamento (endireitamento) de vergalhões e barras com deformação por impacto mecânico, utilizando ferramentas manuais adequadas;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Nos casos em que a deformação tenha causado trincas ou início de fratura, o vergalhão deverá ser substituído por peça nova de aço CA-25.</w:t>
      </w:r>
    </w:p>
    <w:p>
      <w:pPr>
        <w:spacing w:after="120"/>
      </w:pPr>
      <w:r>
        <w:rPr>
          <w:rFonts w:ascii="Calibri" w:hAnsi="Calibri"/>
          <w:b/>
          <w:color w:val="C0392B"/>
          <w:sz w:val="20"/>
        </w:rPr>
        <w:t>IMPORTANTE: Todos os reparos por solda devem ser realizados por soldador qualificado, com certificação vigente conforme AWS D1.1 ou equivalente. Os cordões de solda devem ser visualmente inspecionados antes da pintura.</w:t>
      </w:r>
    </w:p>
    <w:p>
      <w:pPr>
        <w:pStyle w:val="Heading1"/>
      </w:pPr>
      <w:r>
        <w:rPr>
          <w:rFonts w:ascii="Calibri" w:hAnsi="Calibri"/>
          <w:color w:val="1B3A5C"/>
        </w:rPr>
        <w:t>5. ESPECIFICAÇÃO DOS MATERIAIS</w:t>
      </w:r>
    </w:p>
    <w:p>
      <w:pPr>
        <w:pStyle w:val="Heading2"/>
      </w:pPr>
      <w:r>
        <w:rPr>
          <w:rFonts w:ascii="Calibri" w:hAnsi="Calibri"/>
          <w:color w:val="1B3A5C"/>
        </w:rPr>
        <w:t>5.1. Tinta Epóxi de Acabamento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Epóxi bicomponente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Resistência à corrosão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Excelente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Teor de sólidos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≥ 50% em volume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Espessura filme seco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≥ 40 μm/demão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Cor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Cor existente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Marcas de referência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Suvinil Epóxi, Sherwin-Williams, ou equivalente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5.2. Primer Epóxi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Epóxi bicomponente de aderência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Espessura filme seco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≥ 40 μm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Função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Proteção anticorrosiva primária e ancoragem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5.3. Eletrodo para Solda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Revestido AWS E6013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Diâmetro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2,50 mm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Aplicação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Solda de manutenção em aço carbono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5.4. Aço para Recomposição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Aço CA-25, vergalhão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Diâmetros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10,0 a 25,0 mm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Norma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7480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5.5. Ponteiras de Ferro Fundido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Material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Ferro fundido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Altura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12 cm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Fixação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Em barra redonda de 1¼"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Modelo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Idêntico ao existente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6. NORMAS TÉCNICAS APLICÁVEIS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Norma / Legislação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7348 (ISO 8501-1)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Preparação de superfícies de aço — Graus de preparo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7480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Aço para armaduras de concreto armado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AWS D1.1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Structural Welding Code — Steel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NR-18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Condições e Meio Ambiente de Trabalho na Construção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NR-35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Trabalho em Altura (quando aplicável)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NR-06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Equipamentos de Proteção Individual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NR-12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Segurança em Máquinas e Equipamentos (esmerilhadeira, solda)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 14.133/2021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Nova Lei de Licitações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7. SEGURANÇA DO TRABALHO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EPIs para pintura: luvas nitrílicas, óculos de proteção, protetor respiratório com filtro para vapores orgânicos (tinta epóxi), capacete, calçado de segurança;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EPIs para solda: máscara de solda com filtro adequado, avental de raspa de couro, luvas de raspa, perneiras, protetor auricular;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Emitir APR (Análise Preliminar de Risco) e PT (Permissão de Trabalho) antes do início;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DDS (Diálogo Diário de Segurança) com registro em ata assinada;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Sinalização e isolamento das áreas de trabalho com fitas zebradas, cones e placas;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Durante operações de solda próximo a pedestres, instalar biombos de proteção contra faíscas e radiação UV;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Extintor de incêndio classe ABC disponível no local durante toda a operação de solda;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Vedado acúmulo de materiais inflamáveis (solventes, estopas sujas) próximo ao ponto de solda.</w:t>
      </w:r>
    </w:p>
    <w:p>
      <w:pPr>
        <w:pStyle w:val="Heading1"/>
      </w:pPr>
      <w:r>
        <w:rPr>
          <w:rFonts w:ascii="Calibri" w:hAnsi="Calibri"/>
          <w:color w:val="1B3A5C"/>
        </w:rPr>
        <w:t>8. CONDIÇÕES AMBIENTAIS PARA APLICAÇÃO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402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5669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Limite</w:t>
            </w:r>
          </w:p>
        </w:tc>
      </w:tr>
      <w:tr>
        <w:tc>
          <w:tcPr>
            <w:tcW w:type="dxa" w:w="3402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Temperatura ambiente</w:t>
            </w:r>
          </w:p>
        </w:tc>
        <w:tc>
          <w:tcPr>
            <w:tcW w:type="dxa" w:w="5669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Entre 10°C e 35°C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Umidade relativa do ar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Máxima de 85%</w:t>
            </w:r>
          </w:p>
        </w:tc>
      </w:tr>
      <w:tr>
        <w:tc>
          <w:tcPr>
            <w:tcW w:type="dxa" w:w="3402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Umidade superficial</w:t>
            </w:r>
          </w:p>
        </w:tc>
        <w:tc>
          <w:tcPr>
            <w:tcW w:type="dxa" w:w="5669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Ausência de condensação (verificar ponto de orvalho)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Aplicação em dia de chuva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Vedada</w:t>
            </w:r>
          </w:p>
        </w:tc>
      </w:tr>
      <w:tr>
        <w:tc>
          <w:tcPr>
            <w:tcW w:type="dxa" w:w="3402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Intervalo entre demãos epóxi</w:t>
            </w:r>
          </w:p>
        </w:tc>
        <w:tc>
          <w:tcPr>
            <w:tcW w:type="dxa" w:w="5669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Conforme ficha técnica (6–12h)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Tempo máximo de recobrimento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Não exceder (risco de perda de aderência)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9. QUALIFICAÇÃO TÉCNICA EXIGIDA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empresa licitante deverá comprovar, na fase de habilitação técnica: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Registro ativo no CREA com habilitação para engenharia civil e/ou metalurgia;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Responsável técnico com experiência comprovada em pintura industrial de estruturas metálicas;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Atestado(s) de capacidade técnica para pintura com sistema epóxi e/ou serralheria e soldagem em campo;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Soldador qualificado com certificação vigente conforme AWS D1.1 ou equivalente;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Seguro de responsabilidade civil profissional vigente.</w:t>
      </w:r>
    </w:p>
    <w:p>
      <w:pPr>
        <w:pStyle w:val="Heading1"/>
      </w:pPr>
      <w:r>
        <w:rPr>
          <w:rFonts w:ascii="Calibri" w:hAnsi="Calibri"/>
          <w:color w:val="1B3A5C"/>
        </w:rPr>
        <w:t>10. OBRIGAÇÕES DA CONTRATADA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Executar os serviços em conformidade com esta Especificação Técnica;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Fornecer todos os materiais (tintas, primer, eletrodos, aço, ponteiras), equipamentos e EPIs;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Emitir ART junto ao CREA/ES;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Sinalizar e isolar o perímetro de trabalho nas calçadas e acessos públicos;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Proteger pisos, calçadas e elementos adjacentes contra respingos e faíscas;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Responsabilizar-se por danos ao patrimônio público;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Registro fotográfico completo (antes/durante/após);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Apresentar fichas técnicas das tintas e materiais de soldagem para aprovação;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Apresentar amostra de cor para aprovação da fiscalização;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Garantia mínima de 3 (três) anos contra descascamento, bolhas e corrosão prematura;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Limpeza diária ao final de cada jornada.</w:t>
      </w:r>
    </w:p>
    <w:p>
      <w:pPr>
        <w:pStyle w:val="Heading1"/>
      </w:pPr>
      <w:r>
        <w:rPr>
          <w:rFonts w:ascii="Calibri" w:hAnsi="Calibri"/>
          <w:color w:val="1B3A5C"/>
        </w:rPr>
        <w:t>11. OBRIGAÇÕES DA CONTRATANTE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Liberar permissão de trabalho e acesso controlado ao entorno do edifício;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Disponibilizar projetos e documentos técnicos necessários;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Designar fiscalização técnica;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Aprovar cor/tonalidade antes da execução;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Comunicar os usuários sobre eventuais restrições de acesso.</w:t>
      </w:r>
    </w:p>
    <w:p>
      <w:pPr>
        <w:pStyle w:val="Heading1"/>
      </w:pPr>
      <w:r>
        <w:rPr>
          <w:rFonts w:ascii="Calibri" w:hAnsi="Calibri"/>
          <w:color w:val="1B3A5C"/>
        </w:rPr>
        <w:t>12. DISPOSIÇÕES GERAIS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Os serviços deverão ser executados de segunda a sexta, das 08h às 17h;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Operações de solda preferencialmente em horários de menor circulação de pedestres;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Quaisquer serviços fora do escopo serão objeto de aditivo contratual;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Os casos omissos serão resolvidos pela fiscalização;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 Contratada deverá reparar quaisquer danos causados às instalações e logradouro;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 cor final será definida mediante amostra e aprovação formal pela fiscalização.</w:t>
      </w:r>
    </w:p>
    <w:p/>
    <w:p/>
    <w:p>
      <w:pPr>
        <w:spacing w:after="600"/>
        <w:jc w:val="center"/>
      </w:pPr>
      <w:r>
        <w:rPr>
          <w:rFonts w:ascii="Calibri" w:hAnsi="Calibri"/>
          <w:b w:val="0"/>
          <w:color w:val="333333"/>
          <w:sz w:val="22"/>
        </w:rPr>
        <w:t>Vitória/ES, maio de 2026.</w:t>
      </w:r>
    </w:p>
    <w:p/>
    <w:p/>
    <w:p>
      <w:pPr>
        <w:jc w:val="center"/>
      </w:pPr>
      <w:r>
        <w:rPr>
          <w:color w:val="333333"/>
          <w:sz w:val="20"/>
        </w:rPr>
        <w:t>__________________________________________________</w:t>
      </w:r>
    </w:p>
    <w:p>
      <w:pPr>
        <w:spacing w:after="40"/>
        <w:jc w:val="center"/>
      </w:pPr>
      <w:r>
        <w:rPr>
          <w:rFonts w:ascii="Calibri" w:hAnsi="Calibri"/>
          <w:b/>
          <w:color w:val="333333"/>
          <w:sz w:val="22"/>
        </w:rPr>
        <w:t>Luis Fernando</w:t>
      </w:r>
    </w:p>
    <w:p>
      <w:pPr>
        <w:spacing w:after="120"/>
        <w:jc w:val="center"/>
      </w:pPr>
      <w:r>
        <w:rPr>
          <w:rFonts w:ascii="Calibri" w:hAnsi="Calibri"/>
          <w:b w:val="0"/>
          <w:color w:val="333333"/>
          <w:sz w:val="20"/>
        </w:rPr>
        <w:t>Setor de Engenharia — SRAES/MGI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