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Aplicação de Película de Controle Solar (Insulfilm) no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remoção de película antiga, preparação de vidros, fornecimento e aplicação de película de controle solar (insulfilm de alta rejeição térmica) no Edifício Sede MGI/ES em Vitória/ES. Conforme o Acórdão TCU nº 2.622/2013 (Reforma e Manutenção de Edifícios), a faixa referencial situa-se entre 20,34% (1º Quartil), 22,12% (Médio) e 25,00% (3º Quartil). Demonstra-se a seguir que a opção pelo limite superior (25,00%) decorre da alíquota tributária municipal local e das restrições operacionais de execução em edifício público ativo.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instalação/acabamentos,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Especificidade Técnica da Película de Alta Performance Térmica: </w:t>
      </w:r>
      <w:r>
        <w:rPr>
          <w:sz w:val="17"/>
        </w:rPr>
        <w:t>A aplicação de insulfilm de alta rejeição de raios UV e calor (eficiência energética para o sistema HVAC) exige raspagem rigorosa do resíduo antigo sem danificar o vidro temperado/laminado, descontaminação química de superfície e aplicação sem bolhas/rugas com corte de precisão nos caixilhos.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 e Trabalho Interno/Externo em Prédio Ativo: </w:t>
      </w:r>
      <w:r>
        <w:rPr>
          <w:sz w:val="17"/>
        </w:rPr>
        <w:t>A instalação nas janelas de salas administrativas exige movimentação temporária de postos de trabalho, proteção de computadores/documentos contra a umidade da aplicação, janelas operacionais de exceção (noturno/finais de semana) e trabalho em altura interna/externa (NR-35) para vidros de pé-direito elevado.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exigências de precisão técnica e logística de aplicação de insulfilm em edifício público.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