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183E" w14:textId="77777777" w:rsidR="001D5A14" w:rsidRDefault="001D5A14"/>
    <w:p w14:paraId="26C30640" w14:textId="77777777" w:rsidR="001D5A14" w:rsidRDefault="001D5A14"/>
    <w:p w14:paraId="22D38551" w14:textId="77777777" w:rsidR="001D5A14" w:rsidRDefault="001D5A14"/>
    <w:p w14:paraId="27AE3384" w14:textId="77777777" w:rsidR="001D5A14" w:rsidRDefault="001D5A14"/>
    <w:p w14:paraId="60FB268B" w14:textId="77777777" w:rsidR="001D5A14" w:rsidRDefault="006F18FA"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 w14:paraId="1E02894D" w14:textId="77777777" w:rsidR="001D5A14" w:rsidRDefault="006F18FA"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 w14:paraId="625A0A8A" w14:textId="77777777" w:rsidR="001D5A14" w:rsidRDefault="006F18FA"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14:paraId="3353397C" w14:textId="77777777" w:rsidR="001D5A14" w:rsidRDefault="001D5A14"/>
    <w:p w14:paraId="1AD10C5C" w14:textId="77777777" w:rsidR="001D5A14" w:rsidRDefault="001D5A14"/>
    <w:p w14:paraId="60D3F5BE" w14:textId="77777777" w:rsidR="001D5A14" w:rsidRDefault="006F18FA"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 w14:paraId="3E876F70" w14:textId="77777777" w:rsidR="001D5A14" w:rsidRDefault="006F18FA"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Pintura Externa do Edifício Sede MGI/ES,</w:t>
      </w:r>
      <w:r>
        <w:rPr>
          <w:rFonts w:ascii="Calibri" w:hAnsi="Calibri"/>
          <w:b/>
          <w:color w:val="2E5E8E"/>
          <w:sz w:val="28"/>
        </w:rPr>
        <w:br/>
        <w:t>Estacionamento Princesa Isabel e Anexo da Vila Rubim</w:t>
      </w:r>
    </w:p>
    <w:p w14:paraId="6CCAE75D" w14:textId="77777777" w:rsidR="001D5A14" w:rsidRDefault="006F18FA">
      <w:pPr>
        <w:spacing w:after="480"/>
        <w:jc w:val="center"/>
      </w:pPr>
      <w:r>
        <w:rPr>
          <w:rFonts w:ascii="Calibri" w:hAnsi="Calibri"/>
          <w:color w:val="333333"/>
          <w:sz w:val="24"/>
        </w:rPr>
        <w:t>Vitória/ES</w:t>
      </w:r>
    </w:p>
    <w:p w14:paraId="3F1AC628" w14:textId="77777777" w:rsidR="001D5A14" w:rsidRDefault="001D5A14"/>
    <w:p w14:paraId="0130D19D" w14:textId="77777777" w:rsidR="001D5A14" w:rsidRDefault="001D5A14"/>
    <w:p w14:paraId="48E628C9" w14:textId="77777777" w:rsidR="001D5A14" w:rsidRDefault="001D5A14"/>
    <w:p w14:paraId="40B77C11" w14:textId="77777777" w:rsidR="001D5A14" w:rsidRDefault="006F18FA">
      <w:pPr>
        <w:spacing w:after="80"/>
        <w:jc w:val="center"/>
      </w:pPr>
      <w:r>
        <w:rPr>
          <w:rFonts w:ascii="Calibri" w:hAnsi="Calibri"/>
          <w:color w:val="333333"/>
          <w:sz w:val="24"/>
        </w:rPr>
        <w:t>Maio de 2026</w:t>
      </w:r>
    </w:p>
    <w:p w14:paraId="5A1F5D55" w14:textId="77777777" w:rsidR="001D5A14" w:rsidRDefault="006F18FA">
      <w:pPr>
        <w:spacing w:after="120"/>
        <w:jc w:val="center"/>
      </w:pPr>
      <w:r>
        <w:rPr>
          <w:rFonts w:ascii="Calibri" w:hAnsi="Calibri"/>
          <w:b/>
          <w:color w:val="2E5E8E"/>
        </w:rPr>
        <w:t>Setor de Engenharia — SRAES/MGI</w:t>
      </w:r>
    </w:p>
    <w:p w14:paraId="004C78D3" w14:textId="77777777" w:rsidR="001D5A14" w:rsidRDefault="006F18FA">
      <w:r>
        <w:br w:type="page"/>
      </w:r>
    </w:p>
    <w:p w14:paraId="10C3DC32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lastRenderedPageBreak/>
        <w:t>1. OBJETO</w:t>
      </w:r>
    </w:p>
    <w:p w14:paraId="44E31DB7" w14:textId="77777777" w:rsidR="001D5A14" w:rsidRDefault="006F18FA">
      <w:pPr>
        <w:spacing w:after="120"/>
      </w:pPr>
      <w:r>
        <w:rPr>
          <w:rFonts w:ascii="Calibri" w:hAnsi="Calibri"/>
          <w:color w:val="333333"/>
        </w:rPr>
        <w:t>Contratação de empresa especializada para execução dos serviços de pintura externa nas seguintes edificações de propriedade da SRAES — Superintendência de Administração no Espírito Santo, vinculada ao Ministério da Gestão e da Inovação em Serviços Públicos:</w:t>
      </w:r>
    </w:p>
    <w:p w14:paraId="57F7DC7D" w14:textId="77777777" w:rsidR="001D5A14" w:rsidRDefault="006F18FA">
      <w:pPr>
        <w:pStyle w:val="Commarcadores"/>
      </w:pPr>
      <w:r>
        <w:rPr>
          <w:rFonts w:ascii="Calibri" w:hAnsi="Calibri"/>
          <w:b/>
          <w:color w:val="333333"/>
        </w:rPr>
        <w:t xml:space="preserve">Edifício Sede MGI/ES — </w:t>
      </w:r>
      <w:r>
        <w:rPr>
          <w:rFonts w:ascii="Calibri" w:hAnsi="Calibri"/>
          <w:color w:val="333333"/>
        </w:rPr>
        <w:t>Pintura elastomérica (emborrachada) nas fachadas frontal, lateral, fundos e fosso de ventilação;</w:t>
      </w:r>
    </w:p>
    <w:p w14:paraId="5AD27FC0" w14:textId="77777777" w:rsidR="001D5A14" w:rsidRDefault="006F18FA">
      <w:pPr>
        <w:pStyle w:val="Commarcadores"/>
      </w:pPr>
      <w:r>
        <w:rPr>
          <w:rFonts w:ascii="Calibri" w:hAnsi="Calibri"/>
          <w:b/>
          <w:color w:val="333333"/>
        </w:rPr>
        <w:t xml:space="preserve">Estacionamento Princesa Isabel — </w:t>
      </w:r>
      <w:r>
        <w:rPr>
          <w:rFonts w:ascii="Calibri" w:hAnsi="Calibri"/>
          <w:color w:val="333333"/>
        </w:rPr>
        <w:t>Pintura das paredes internas do muro de alvenaria e da estrutura metálica sobreposta (grade);</w:t>
      </w:r>
    </w:p>
    <w:p w14:paraId="587BC882" w14:textId="77777777" w:rsidR="001D5A14" w:rsidRDefault="006F18FA">
      <w:pPr>
        <w:pStyle w:val="Commarcadores"/>
      </w:pPr>
      <w:r>
        <w:rPr>
          <w:rFonts w:ascii="Calibri" w:hAnsi="Calibri"/>
          <w:b/>
          <w:color w:val="333333"/>
        </w:rPr>
        <w:t xml:space="preserve">Anexo da Vila Rubim — </w:t>
      </w:r>
      <w:r>
        <w:rPr>
          <w:rFonts w:ascii="Calibri" w:hAnsi="Calibri"/>
          <w:color w:val="333333"/>
        </w:rPr>
        <w:t>Pintura das paredes externas do prédio e muro.</w:t>
      </w:r>
    </w:p>
    <w:p w14:paraId="1FC80250" w14:textId="77777777" w:rsidR="001D5A14" w:rsidRDefault="006F18FA">
      <w:r>
        <w:rPr>
          <w:rFonts w:ascii="Calibri" w:hAnsi="Calibri"/>
          <w:color w:val="333333"/>
        </w:rPr>
        <w:t>Os serviços compreendem todas as etapas de preparação de superfície, recuperação de substrato, selagem, aplicação de tintas e acabamento final, incluindo serviços preliminares (balancim, licenças, ART) e mobilização/desmobilização.</w:t>
      </w:r>
    </w:p>
    <w:p w14:paraId="570D7DCB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2. DADOS DAS EDIFICAÇÕES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1701"/>
        <w:gridCol w:w="1984"/>
        <w:gridCol w:w="1417"/>
      </w:tblGrid>
      <w:tr w:rsidR="001D5A14" w14:paraId="627FE14E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3B9FC092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Edificação</w:t>
            </w:r>
          </w:p>
        </w:tc>
        <w:tc>
          <w:tcPr>
            <w:tcW w:w="2268" w:type="dxa"/>
            <w:shd w:val="clear" w:color="auto" w:fill="1B3A5C"/>
          </w:tcPr>
          <w:p w14:paraId="7AAB631F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Endereço</w:t>
            </w:r>
          </w:p>
        </w:tc>
        <w:tc>
          <w:tcPr>
            <w:tcW w:w="1701" w:type="dxa"/>
            <w:shd w:val="clear" w:color="auto" w:fill="1B3A5C"/>
          </w:tcPr>
          <w:p w14:paraId="1C06A469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Tipologia</w:t>
            </w:r>
          </w:p>
        </w:tc>
        <w:tc>
          <w:tcPr>
            <w:tcW w:w="1984" w:type="dxa"/>
            <w:shd w:val="clear" w:color="auto" w:fill="1B3A5C"/>
          </w:tcPr>
          <w:p w14:paraId="45DE0545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Escopo de Pintura</w:t>
            </w:r>
          </w:p>
        </w:tc>
        <w:tc>
          <w:tcPr>
            <w:tcW w:w="1417" w:type="dxa"/>
            <w:shd w:val="clear" w:color="auto" w:fill="1B3A5C"/>
          </w:tcPr>
          <w:p w14:paraId="717CF996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Estimada</w:t>
            </w:r>
          </w:p>
        </w:tc>
      </w:tr>
      <w:tr w:rsidR="001D5A14" w14:paraId="156235E2" w14:textId="77777777">
        <w:trPr>
          <w:jc w:val="center"/>
        </w:trPr>
        <w:tc>
          <w:tcPr>
            <w:tcW w:w="1984" w:type="dxa"/>
            <w:shd w:val="clear" w:color="auto" w:fill="EBF1F8"/>
          </w:tcPr>
          <w:p w14:paraId="5EF36A3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Edifício Sede MGI/ES</w:t>
            </w:r>
          </w:p>
        </w:tc>
        <w:tc>
          <w:tcPr>
            <w:tcW w:w="2268" w:type="dxa"/>
            <w:shd w:val="clear" w:color="auto" w:fill="EBF1F8"/>
          </w:tcPr>
          <w:p w14:paraId="3B3F9E7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  <w:tc>
          <w:tcPr>
            <w:tcW w:w="1701" w:type="dxa"/>
            <w:shd w:val="clear" w:color="auto" w:fill="EBF1F8"/>
          </w:tcPr>
          <w:p w14:paraId="12B03D0A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Subsolo + Térreo + 10 pavimentos</w:t>
            </w:r>
          </w:p>
        </w:tc>
        <w:tc>
          <w:tcPr>
            <w:tcW w:w="1984" w:type="dxa"/>
            <w:shd w:val="clear" w:color="auto" w:fill="EBF1F8"/>
          </w:tcPr>
          <w:p w14:paraId="0E226661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Fachada frontal, lateral, fundos e fosso</w:t>
            </w:r>
          </w:p>
        </w:tc>
        <w:tc>
          <w:tcPr>
            <w:tcW w:w="1417" w:type="dxa"/>
            <w:shd w:val="clear" w:color="auto" w:fill="EBF1F8"/>
          </w:tcPr>
          <w:p w14:paraId="58BE3E20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3.562 m²</w:t>
            </w:r>
          </w:p>
        </w:tc>
      </w:tr>
      <w:tr w:rsidR="001D5A14" w14:paraId="42D14C56" w14:textId="77777777">
        <w:trPr>
          <w:jc w:val="center"/>
        </w:trPr>
        <w:tc>
          <w:tcPr>
            <w:tcW w:w="1984" w:type="dxa"/>
          </w:tcPr>
          <w:p w14:paraId="73B9D3E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Estac. Princesa Isabel</w:t>
            </w:r>
          </w:p>
        </w:tc>
        <w:tc>
          <w:tcPr>
            <w:tcW w:w="2268" w:type="dxa"/>
          </w:tcPr>
          <w:p w14:paraId="3B04071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Av. Princesa Isabel — Centro, Vitória/ES</w:t>
            </w:r>
          </w:p>
        </w:tc>
        <w:tc>
          <w:tcPr>
            <w:tcW w:w="1701" w:type="dxa"/>
          </w:tcPr>
          <w:p w14:paraId="2491991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Muro + grade metálica</w:t>
            </w:r>
          </w:p>
        </w:tc>
        <w:tc>
          <w:tcPr>
            <w:tcW w:w="1984" w:type="dxa"/>
          </w:tcPr>
          <w:p w14:paraId="00AB9C2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Paredes internas do muro e estrutura metálica</w:t>
            </w:r>
          </w:p>
        </w:tc>
        <w:tc>
          <w:tcPr>
            <w:tcW w:w="1417" w:type="dxa"/>
          </w:tcPr>
          <w:p w14:paraId="5291EA2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330 m² + 533 m²</w:t>
            </w:r>
          </w:p>
        </w:tc>
      </w:tr>
      <w:tr w:rsidR="001D5A14" w14:paraId="07FAED62" w14:textId="77777777">
        <w:trPr>
          <w:jc w:val="center"/>
        </w:trPr>
        <w:tc>
          <w:tcPr>
            <w:tcW w:w="1984" w:type="dxa"/>
            <w:shd w:val="clear" w:color="auto" w:fill="EBF1F8"/>
          </w:tcPr>
          <w:p w14:paraId="726A66F1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Anexo Vila Rubim</w:t>
            </w:r>
          </w:p>
        </w:tc>
        <w:tc>
          <w:tcPr>
            <w:tcW w:w="2268" w:type="dxa"/>
            <w:shd w:val="clear" w:color="auto" w:fill="EBF1F8"/>
          </w:tcPr>
          <w:p w14:paraId="76FC145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Vila Rubim — Centro, Vitória/ES</w:t>
            </w:r>
          </w:p>
        </w:tc>
        <w:tc>
          <w:tcPr>
            <w:tcW w:w="1701" w:type="dxa"/>
            <w:shd w:val="clear" w:color="auto" w:fill="EBF1F8"/>
          </w:tcPr>
          <w:p w14:paraId="3FA6853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Prédio Anexo + muro</w:t>
            </w:r>
          </w:p>
        </w:tc>
        <w:tc>
          <w:tcPr>
            <w:tcW w:w="1984" w:type="dxa"/>
            <w:shd w:val="clear" w:color="auto" w:fill="EBF1F8"/>
          </w:tcPr>
          <w:p w14:paraId="72513677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Paredes externas e muro</w:t>
            </w:r>
          </w:p>
        </w:tc>
        <w:tc>
          <w:tcPr>
            <w:tcW w:w="1417" w:type="dxa"/>
            <w:shd w:val="clear" w:color="auto" w:fill="EBF1F8"/>
          </w:tcPr>
          <w:p w14:paraId="30A368D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340 m²</w:t>
            </w:r>
          </w:p>
        </w:tc>
      </w:tr>
    </w:tbl>
    <w:p w14:paraId="40718F2F" w14:textId="77777777" w:rsidR="001D5A14" w:rsidRDefault="001D5A14"/>
    <w:p w14:paraId="5F8EDBF5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3. ESCOPO TÉCNICO — LOCAL 1: EDIFÍCIO SEDE MGI/ES</w:t>
      </w:r>
    </w:p>
    <w:p w14:paraId="069936B3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3.1. Serviços Preliminares</w:t>
      </w:r>
    </w:p>
    <w:p w14:paraId="3ED42BB2" w14:textId="77777777" w:rsidR="001D5A14" w:rsidRDefault="006F18FA">
      <w:pPr>
        <w:pStyle w:val="Commarcadores"/>
      </w:pPr>
      <w:r>
        <w:rPr>
          <w:rFonts w:ascii="Calibri" w:hAnsi="Calibri"/>
          <w:b/>
          <w:color w:val="333333"/>
        </w:rPr>
        <w:t xml:space="preserve">Locação de cadeira suspensa (balancim) </w:t>
      </w:r>
      <w:r>
        <w:rPr>
          <w:rFonts w:ascii="Calibri" w:hAnsi="Calibri"/>
          <w:color w:val="333333"/>
        </w:rPr>
        <w:t>conforme NR-18 e ABNT NBR 14751, incluindo kit de segurança completo (cinto tipo paraquedista, trava-quedas, linha de vida, capacete com jugular);</w:t>
      </w:r>
    </w:p>
    <w:p w14:paraId="6C9D2E1E" w14:textId="77777777" w:rsidR="001D5A14" w:rsidRDefault="006F18FA">
      <w:pPr>
        <w:pStyle w:val="Commarcadores"/>
      </w:pPr>
      <w:r>
        <w:rPr>
          <w:rFonts w:ascii="Calibri" w:hAnsi="Calibri"/>
          <w:b/>
          <w:color w:val="333333"/>
        </w:rPr>
        <w:t xml:space="preserve">Montagem e desmontagem </w:t>
      </w:r>
      <w:r>
        <w:rPr>
          <w:rFonts w:ascii="Calibri" w:hAnsi="Calibri"/>
          <w:color w:val="333333"/>
        </w:rPr>
        <w:t>de cadeiras suspensas (balancins);</w:t>
      </w:r>
    </w:p>
    <w:p w14:paraId="64FF28A9" w14:textId="77777777" w:rsidR="001D5A14" w:rsidRDefault="006F18FA">
      <w:pPr>
        <w:pStyle w:val="Commarcadores"/>
      </w:pPr>
      <w:r>
        <w:rPr>
          <w:rFonts w:ascii="Calibri" w:hAnsi="Calibri"/>
          <w:b/>
          <w:color w:val="333333"/>
        </w:rPr>
        <w:t xml:space="preserve">Taxas de Prefeitura </w:t>
      </w:r>
      <w:r>
        <w:rPr>
          <w:rFonts w:ascii="Calibri" w:hAnsi="Calibri"/>
          <w:color w:val="333333"/>
        </w:rPr>
        <w:t>para licenciamento de obra de pintura de fachada;</w:t>
      </w:r>
    </w:p>
    <w:p w14:paraId="2BC7CDA9" w14:textId="77777777" w:rsidR="001D5A14" w:rsidRDefault="006F18FA">
      <w:pPr>
        <w:pStyle w:val="Commarcadores"/>
      </w:pPr>
      <w:r>
        <w:rPr>
          <w:rFonts w:ascii="Calibri" w:hAnsi="Calibri"/>
          <w:b/>
          <w:color w:val="333333"/>
        </w:rPr>
        <w:t xml:space="preserve">Emissão de ART </w:t>
      </w:r>
      <w:r>
        <w:rPr>
          <w:rFonts w:ascii="Calibri" w:hAnsi="Calibri"/>
          <w:color w:val="333333"/>
        </w:rPr>
        <w:t>— Anotação de Responsabilidade Técnica junto ao CREA/ES.</w:t>
      </w:r>
    </w:p>
    <w:p w14:paraId="2B29A64F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3.2. Pintura Elastomérica (Emborrachada) — Fachada</w:t>
      </w:r>
    </w:p>
    <w:p w14:paraId="77DDFD56" w14:textId="77777777" w:rsidR="001D5A14" w:rsidRDefault="006F18FA">
      <w:pPr>
        <w:spacing w:after="120"/>
      </w:pPr>
      <w:r>
        <w:rPr>
          <w:rFonts w:ascii="Calibri" w:hAnsi="Calibri"/>
          <w:color w:val="333333"/>
        </w:rPr>
        <w:t>Execução de pintura elastomérica (emborrachada) nas paredes externas da fachada frontal, lateral e fundos do Edifício Sede, incluindo o fosso de ventilação:</w:t>
      </w:r>
    </w:p>
    <w:p w14:paraId="1A4CC7E0" w14:textId="77777777" w:rsidR="001D5A14" w:rsidRDefault="006F18FA">
      <w:pPr>
        <w:spacing w:after="120"/>
      </w:pPr>
      <w:r>
        <w:rPr>
          <w:rFonts w:ascii="Calibri" w:hAnsi="Calibri"/>
          <w:b/>
          <w:color w:val="2E5E8E"/>
        </w:rPr>
        <w:t>a) Preparação da Superfície</w:t>
      </w:r>
    </w:p>
    <w:p w14:paraId="0E9CAB21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Limpeza mecânica das superfícies com escovação de aço e lavagem sob pressão mínima de 2.000 psi para remoção de eflorescências, fungos, liquens, poeira e resíduos soltos;</w:t>
      </w:r>
    </w:p>
    <w:p w14:paraId="2B5DC0CB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lastRenderedPageBreak/>
        <w:t>Lixamento manual de parede com pintura PVA existente para nivelamento e preparo da superfície para recebimento de nova camada de tinta.</w:t>
      </w:r>
    </w:p>
    <w:p w14:paraId="46BA013D" w14:textId="77777777" w:rsidR="001D5A14" w:rsidRDefault="006F18FA">
      <w:pPr>
        <w:spacing w:after="120"/>
      </w:pPr>
      <w:r>
        <w:rPr>
          <w:rFonts w:ascii="Calibri" w:hAnsi="Calibri"/>
          <w:b/>
          <w:color w:val="2E5E8E"/>
        </w:rPr>
        <w:t>b) Recuperação do Substrato</w:t>
      </w:r>
    </w:p>
    <w:p w14:paraId="68CE64AA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Emboço de regularização com argamassa de cimento e areia peneirada no traço 1:3 com aditivo impermeabilizante, espessura mínima de 2 cm, nas áreas com destacamento, falhas ou irregularidades do reboco existente;</w:t>
      </w:r>
    </w:p>
    <w:p w14:paraId="50F8AFFD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Instalação de rufos em chapa de alumínio, espessura 0,6 mm, largura 30 cm, nos encontros entre paredes e platibanda/laje para proteção contra infiltração.</w:t>
      </w:r>
    </w:p>
    <w:p w14:paraId="6F845BC4" w14:textId="77777777" w:rsidR="001D5A14" w:rsidRDefault="006F18FA">
      <w:pPr>
        <w:spacing w:after="120"/>
      </w:pPr>
      <w:r>
        <w:rPr>
          <w:rFonts w:ascii="Calibri" w:hAnsi="Calibri"/>
          <w:b/>
          <w:color w:val="2E5E8E"/>
        </w:rPr>
        <w:t>c) Selagem</w:t>
      </w:r>
    </w:p>
    <w:p w14:paraId="43C16CC2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Aplicação de selador acrílico concentrado diluído conforme especificação do fabricante, em uma demão uniforme sobre toda a extensão da superfície.</w:t>
      </w:r>
    </w:p>
    <w:p w14:paraId="6E76205F" w14:textId="77777777" w:rsidR="001D5A14" w:rsidRDefault="006F18FA">
      <w:pPr>
        <w:spacing w:after="120"/>
      </w:pPr>
      <w:r>
        <w:rPr>
          <w:rFonts w:ascii="Calibri" w:hAnsi="Calibri"/>
          <w:b/>
          <w:color w:val="C0392B"/>
          <w:sz w:val="20"/>
        </w:rPr>
        <w:t>IMPORTANTE: Cura mínima de 7 dias para a argamassa de regularização antes da aplicação do selador.</w:t>
      </w:r>
    </w:p>
    <w:p w14:paraId="44C4CACE" w14:textId="77777777" w:rsidR="001D5A14" w:rsidRDefault="006F18FA">
      <w:pPr>
        <w:spacing w:after="120"/>
      </w:pPr>
      <w:r>
        <w:rPr>
          <w:rFonts w:ascii="Calibri" w:hAnsi="Calibri"/>
          <w:b/>
          <w:color w:val="2E5E8E"/>
        </w:rPr>
        <w:t>d) Pintura Elastomérica (Acabamento)</w:t>
      </w:r>
    </w:p>
    <w:p w14:paraId="4CA52910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Aplicação de massa acrílica texturizada (primer elastomérico de base aquosa) em uma demão;</w:t>
      </w:r>
    </w:p>
    <w:p w14:paraId="772517B0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Duas demãos de tinta elastomérica (emborrachada) acrílica pura de alta espessura;</w:t>
      </w:r>
    </w:p>
    <w:p w14:paraId="650AA2B6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Aplicação a rolo de pelo de carneiro ou airless, na cor marfim, tonalidade conforme aprovação da fiscalização;</w:t>
      </w:r>
    </w:p>
    <w:p w14:paraId="64110FFC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Conformidade com ABNT NBR 15.079 e ABNT NBR 14.028; intervalo mínimo de 4 horas entre demãos; consumo mínimo de 300 g/m² por demão.</w:t>
      </w:r>
    </w:p>
    <w:p w14:paraId="7D9F17A7" w14:textId="77777777" w:rsidR="001D5A14" w:rsidRDefault="006F18FA">
      <w:pPr>
        <w:spacing w:after="80"/>
      </w:pPr>
      <w:r>
        <w:rPr>
          <w:rFonts w:ascii="Calibri" w:hAnsi="Calibri"/>
          <w:b/>
          <w:color w:val="333333"/>
        </w:rPr>
        <w:t>Características técnicas mínimas da tinta elastomérica: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</w:tblGrid>
      <w:tr w:rsidR="001D5A14" w14:paraId="749C2912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B5B4B17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3402" w:type="dxa"/>
            <w:shd w:val="clear" w:color="auto" w:fill="1B3A5C"/>
          </w:tcPr>
          <w:p w14:paraId="585CA113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 Mínima</w:t>
            </w:r>
          </w:p>
        </w:tc>
      </w:tr>
      <w:tr w:rsidR="001D5A14" w14:paraId="3E9B9823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25E0893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Alongamento</w:t>
            </w:r>
          </w:p>
        </w:tc>
        <w:tc>
          <w:tcPr>
            <w:tcW w:w="3402" w:type="dxa"/>
            <w:shd w:val="clear" w:color="auto" w:fill="EBF1F8"/>
          </w:tcPr>
          <w:p w14:paraId="31FC7ED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300%</w:t>
            </w:r>
          </w:p>
        </w:tc>
      </w:tr>
      <w:tr w:rsidR="001D5A14" w14:paraId="67FE1B92" w14:textId="77777777">
        <w:trPr>
          <w:jc w:val="center"/>
        </w:trPr>
        <w:tc>
          <w:tcPr>
            <w:tcW w:w="3402" w:type="dxa"/>
          </w:tcPr>
          <w:p w14:paraId="722844D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Resistência à tração</w:t>
            </w:r>
          </w:p>
        </w:tc>
        <w:tc>
          <w:tcPr>
            <w:tcW w:w="3402" w:type="dxa"/>
          </w:tcPr>
          <w:p w14:paraId="0DE6BD70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1,5 MPa</w:t>
            </w:r>
          </w:p>
        </w:tc>
      </w:tr>
      <w:tr w:rsidR="001D5A14" w14:paraId="5EA2AB77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1A749E7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Teor de sólidos</w:t>
            </w:r>
          </w:p>
        </w:tc>
        <w:tc>
          <w:tcPr>
            <w:tcW w:w="3402" w:type="dxa"/>
            <w:shd w:val="clear" w:color="auto" w:fill="EBF1F8"/>
          </w:tcPr>
          <w:p w14:paraId="06F0CAD9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55% em volume</w:t>
            </w:r>
          </w:p>
        </w:tc>
      </w:tr>
      <w:tr w:rsidR="001D5A14" w14:paraId="0E48B594" w14:textId="77777777">
        <w:trPr>
          <w:jc w:val="center"/>
        </w:trPr>
        <w:tc>
          <w:tcPr>
            <w:tcW w:w="3402" w:type="dxa"/>
          </w:tcPr>
          <w:p w14:paraId="2198DCC2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Cobertura de microfissuras</w:t>
            </w:r>
          </w:p>
        </w:tc>
        <w:tc>
          <w:tcPr>
            <w:tcW w:w="3402" w:type="dxa"/>
          </w:tcPr>
          <w:p w14:paraId="0059C0DE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Até 1,0 mm</w:t>
            </w:r>
          </w:p>
        </w:tc>
      </w:tr>
      <w:tr w:rsidR="001D5A14" w14:paraId="41D65C88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166AB9B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Resistência UV</w:t>
            </w:r>
          </w:p>
        </w:tc>
        <w:tc>
          <w:tcPr>
            <w:tcW w:w="3402" w:type="dxa"/>
            <w:shd w:val="clear" w:color="auto" w:fill="EBF1F8"/>
          </w:tcPr>
          <w:p w14:paraId="1762BC1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Sim</w:t>
            </w:r>
          </w:p>
        </w:tc>
      </w:tr>
      <w:tr w:rsidR="001D5A14" w14:paraId="2D5F8718" w14:textId="77777777">
        <w:trPr>
          <w:jc w:val="center"/>
        </w:trPr>
        <w:tc>
          <w:tcPr>
            <w:tcW w:w="3402" w:type="dxa"/>
          </w:tcPr>
          <w:p w14:paraId="57A8B6C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Anti-fungos / Anti-algas</w:t>
            </w:r>
          </w:p>
        </w:tc>
        <w:tc>
          <w:tcPr>
            <w:tcW w:w="3402" w:type="dxa"/>
          </w:tcPr>
          <w:p w14:paraId="7E7A1AB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Sim</w:t>
            </w:r>
          </w:p>
        </w:tc>
      </w:tr>
      <w:tr w:rsidR="001D5A14" w14:paraId="2A54E3C4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44CE6894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Espessura seca total (2 demãos)</w:t>
            </w:r>
          </w:p>
        </w:tc>
        <w:tc>
          <w:tcPr>
            <w:tcW w:w="3402" w:type="dxa"/>
            <w:shd w:val="clear" w:color="auto" w:fill="EBF1F8"/>
          </w:tcPr>
          <w:p w14:paraId="3D8ECCD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200 μm</w:t>
            </w:r>
          </w:p>
        </w:tc>
      </w:tr>
      <w:tr w:rsidR="001D5A14" w14:paraId="2B140897" w14:textId="77777777">
        <w:trPr>
          <w:jc w:val="center"/>
        </w:trPr>
        <w:tc>
          <w:tcPr>
            <w:tcW w:w="3402" w:type="dxa"/>
          </w:tcPr>
          <w:p w14:paraId="15B2AE9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Consumo mínimo</w:t>
            </w:r>
          </w:p>
        </w:tc>
        <w:tc>
          <w:tcPr>
            <w:tcW w:w="3402" w:type="dxa"/>
          </w:tcPr>
          <w:p w14:paraId="02E1CA21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300 g/m² por demão</w:t>
            </w:r>
          </w:p>
        </w:tc>
      </w:tr>
      <w:tr w:rsidR="001D5A14" w14:paraId="43668443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3A9A4FF7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Intervalo entre demãos</w:t>
            </w:r>
          </w:p>
        </w:tc>
        <w:tc>
          <w:tcPr>
            <w:tcW w:w="3402" w:type="dxa"/>
            <w:shd w:val="clear" w:color="auto" w:fill="EBF1F8"/>
          </w:tcPr>
          <w:p w14:paraId="4CFA8FA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Mínimo 4 horas</w:t>
            </w:r>
          </w:p>
        </w:tc>
      </w:tr>
    </w:tbl>
    <w:p w14:paraId="4EECE2D1" w14:textId="77777777" w:rsidR="001D5A14" w:rsidRDefault="001D5A14"/>
    <w:p w14:paraId="70C65C04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4. ESCOPO TÉCNICO — LOCAL 2: ESTACIONAMENTO PRINCESA ISABEL</w:t>
      </w:r>
    </w:p>
    <w:p w14:paraId="04C4FB78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4.1. Pintura em Alvenaria e Estrutura Metálica</w:t>
      </w:r>
    </w:p>
    <w:p w14:paraId="13EFE15F" w14:textId="77777777" w:rsidR="001D5A14" w:rsidRDefault="006F18FA">
      <w:pPr>
        <w:spacing w:after="120"/>
      </w:pPr>
      <w:r>
        <w:rPr>
          <w:rFonts w:ascii="Calibri" w:hAnsi="Calibri"/>
          <w:b/>
          <w:color w:val="2E5E8E"/>
        </w:rPr>
        <w:t>a) Superfícies de Alvenaria (paredes internas do muro)</w:t>
      </w:r>
    </w:p>
    <w:p w14:paraId="74A5A485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Lixamento manual para preparo da superfície;</w:t>
      </w:r>
    </w:p>
    <w:p w14:paraId="11A56633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Limpeza mecânica com escovação manual por escova de aço de cerdas rígidas, seguida de lavagem sob pressão mínima de 1.500 psi;</w:t>
      </w:r>
    </w:p>
    <w:p w14:paraId="114E6AF4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lastRenderedPageBreak/>
        <w:t>Aplicação de selador acrílico concentrado em uma demão;</w:t>
      </w:r>
    </w:p>
    <w:p w14:paraId="0869BD81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Duas demãos de tinta acrílica 100% de base aquosa para uso exterior, com propriedades anti-fungos e anti-algas, cor marfim, aplicadas a rolo de pelo de carneiro; intervalo mínimo de 4 horas entre demãos, consumo mínimo de 200 g/m², teor de sólidos ≥ 40% em volume, conforme ABNT NBR 15.079;</w:t>
      </w:r>
    </w:p>
    <w:p w14:paraId="5B97AD71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Vedada aplicação sobre substrato úmido (umidade superficial máxima de 8%, aferida por higrômetro de superfície).</w:t>
      </w:r>
    </w:p>
    <w:p w14:paraId="64E5AF00" w14:textId="77777777" w:rsidR="001D5A14" w:rsidRDefault="006F18FA">
      <w:pPr>
        <w:spacing w:after="120"/>
      </w:pPr>
      <w:r>
        <w:rPr>
          <w:rFonts w:ascii="Calibri" w:hAnsi="Calibri"/>
          <w:b/>
          <w:color w:val="2E5E8E"/>
        </w:rPr>
        <w:t>b) Superfícies Metálicas (grade sobreposta ao muro)</w:t>
      </w:r>
    </w:p>
    <w:p w14:paraId="5A7782DE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Limpeza por escovação de aço com remoção de carepas de ferrugem, tinta deteriorada e contaminantes, grau de limpeza mínimo St 2 conforme ABNT NBR 7348 (ISO 8501-1);</w:t>
      </w:r>
    </w:p>
    <w:p w14:paraId="35E45FC2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Uma demão de tinta de fundo anticorrosiva alquídica (tipo zarcão — cromato de zinco ou equivalente), espessura de filme seco mínima de 40 μm, teor de sólidos ≥ 50% em volume;</w:t>
      </w:r>
    </w:p>
    <w:p w14:paraId="153A588A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Pintura de acabamento com tinta alquídica (esmalte sintético brilhante) aplicada a rolo ou pincel sobre perfil metálico.</w:t>
      </w:r>
    </w:p>
    <w:p w14:paraId="7A636F69" w14:textId="77777777" w:rsidR="001D5A14" w:rsidRDefault="006F18FA">
      <w:pPr>
        <w:spacing w:after="120"/>
      </w:pPr>
      <w:r>
        <w:rPr>
          <w:rFonts w:ascii="Calibri" w:hAnsi="Calibri"/>
          <w:color w:val="2E5E8E"/>
          <w:sz w:val="20"/>
        </w:rPr>
        <w:t>NOTA: Toda a execução deve ser registrada com documentação fotográfica (antes/durante/após) a ser anexada ao processo SEI como requisito de medição.</w:t>
      </w:r>
    </w:p>
    <w:p w14:paraId="53B601B6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5. ESCOPO TÉCNICO — LOCAL 3: ANEXO DA VILA RUBIM</w:t>
      </w:r>
    </w:p>
    <w:p w14:paraId="086C729F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5.1. Pintura em Alvenaria</w:t>
      </w:r>
    </w:p>
    <w:p w14:paraId="4375E686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Lixamento manual para preparo da superfície;</w:t>
      </w:r>
    </w:p>
    <w:p w14:paraId="1D197554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Limpeza mecânica com escovação manual e lavagem sob pressão mínima de 1.500 psi;</w:t>
      </w:r>
    </w:p>
    <w:p w14:paraId="74B6D867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Aplicação de selador acrílico concentrado em uma demão;</w:t>
      </w:r>
    </w:p>
    <w:p w14:paraId="2598CCCC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Duas demãos de tinta acrílica 100% de base aquosa para uso exterior, com propriedades anti-fungos e anti-algas, cor marfim;</w:t>
      </w:r>
    </w:p>
    <w:p w14:paraId="71F57ECE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Mesmas especificações técnicas do Local 2: ABNT NBR 15.079, intervalo mínimo 4h entre demãos, consumo ≥ 200 g/m², teor de sólidos ≥ 40%;</w:t>
      </w:r>
    </w:p>
    <w:p w14:paraId="720E96B9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Vedada aplicação sobre substrato com umidade superficial superior a 8%.</w:t>
      </w:r>
    </w:p>
    <w:p w14:paraId="34B93B02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6. ESPECIFICAÇÃO DOS MATERIAIS</w:t>
      </w:r>
    </w:p>
    <w:p w14:paraId="411982AF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6.1. Tinta Elastomérica (Emborrachada) — Local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D5A14" w14:paraId="6BEA7C55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AB74DF1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3535CC46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1D5A14" w14:paraId="68C32C5A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1DB0C018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20C60BE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Acrílica pura elastomérica de alta espessura</w:t>
            </w:r>
          </w:p>
        </w:tc>
      </w:tr>
      <w:tr w:rsidR="001D5A14" w14:paraId="45A9040B" w14:textId="77777777">
        <w:trPr>
          <w:jc w:val="center"/>
        </w:trPr>
        <w:tc>
          <w:tcPr>
            <w:tcW w:w="2835" w:type="dxa"/>
          </w:tcPr>
          <w:p w14:paraId="22896292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Base</w:t>
            </w:r>
          </w:p>
        </w:tc>
        <w:tc>
          <w:tcPr>
            <w:tcW w:w="6236" w:type="dxa"/>
          </w:tcPr>
          <w:p w14:paraId="0B9747C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Aquosa</w:t>
            </w:r>
          </w:p>
        </w:tc>
      </w:tr>
      <w:tr w:rsidR="001D5A14" w14:paraId="16B3E7D2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000CEBA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Alongamento</w:t>
            </w:r>
          </w:p>
        </w:tc>
        <w:tc>
          <w:tcPr>
            <w:tcW w:w="6236" w:type="dxa"/>
            <w:shd w:val="clear" w:color="auto" w:fill="EBF1F8"/>
          </w:tcPr>
          <w:p w14:paraId="0AB9D884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300%</w:t>
            </w:r>
          </w:p>
        </w:tc>
      </w:tr>
      <w:tr w:rsidR="001D5A14" w14:paraId="2BF53FE5" w14:textId="77777777">
        <w:trPr>
          <w:jc w:val="center"/>
        </w:trPr>
        <w:tc>
          <w:tcPr>
            <w:tcW w:w="2835" w:type="dxa"/>
          </w:tcPr>
          <w:p w14:paraId="0ED1165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Resistência à tração</w:t>
            </w:r>
          </w:p>
        </w:tc>
        <w:tc>
          <w:tcPr>
            <w:tcW w:w="6236" w:type="dxa"/>
          </w:tcPr>
          <w:p w14:paraId="0652A79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1,5 MPa</w:t>
            </w:r>
          </w:p>
        </w:tc>
      </w:tr>
      <w:tr w:rsidR="001D5A14" w14:paraId="7E913FD9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7AA10042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Teor de sólidos</w:t>
            </w:r>
          </w:p>
        </w:tc>
        <w:tc>
          <w:tcPr>
            <w:tcW w:w="6236" w:type="dxa"/>
            <w:shd w:val="clear" w:color="auto" w:fill="EBF1F8"/>
          </w:tcPr>
          <w:p w14:paraId="0D93EA54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55% em volume</w:t>
            </w:r>
          </w:p>
        </w:tc>
      </w:tr>
      <w:tr w:rsidR="001D5A14" w14:paraId="467166B6" w14:textId="77777777">
        <w:trPr>
          <w:jc w:val="center"/>
        </w:trPr>
        <w:tc>
          <w:tcPr>
            <w:tcW w:w="2835" w:type="dxa"/>
          </w:tcPr>
          <w:p w14:paraId="254B75E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Cobertura de fissuras</w:t>
            </w:r>
          </w:p>
        </w:tc>
        <w:tc>
          <w:tcPr>
            <w:tcW w:w="6236" w:type="dxa"/>
          </w:tcPr>
          <w:p w14:paraId="5AF6BB04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Até 1,0 mm</w:t>
            </w:r>
          </w:p>
        </w:tc>
      </w:tr>
      <w:tr w:rsidR="001D5A14" w14:paraId="15963B08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077E414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Espessura seca total</w:t>
            </w:r>
          </w:p>
        </w:tc>
        <w:tc>
          <w:tcPr>
            <w:tcW w:w="6236" w:type="dxa"/>
            <w:shd w:val="clear" w:color="auto" w:fill="EBF1F8"/>
          </w:tcPr>
          <w:p w14:paraId="119B8050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200 μm (2 demãos)</w:t>
            </w:r>
          </w:p>
        </w:tc>
      </w:tr>
      <w:tr w:rsidR="001D5A14" w14:paraId="5F81DAAE" w14:textId="77777777">
        <w:trPr>
          <w:jc w:val="center"/>
        </w:trPr>
        <w:tc>
          <w:tcPr>
            <w:tcW w:w="2835" w:type="dxa"/>
          </w:tcPr>
          <w:p w14:paraId="3F635DB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Consumo</w:t>
            </w:r>
          </w:p>
        </w:tc>
        <w:tc>
          <w:tcPr>
            <w:tcW w:w="6236" w:type="dxa"/>
          </w:tcPr>
          <w:p w14:paraId="620E73E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300 g/m² por demão</w:t>
            </w:r>
          </w:p>
        </w:tc>
      </w:tr>
      <w:tr w:rsidR="001D5A14" w14:paraId="4DF8FB58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13AF3D0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lastRenderedPageBreak/>
              <w:t>Normas</w:t>
            </w:r>
          </w:p>
        </w:tc>
        <w:tc>
          <w:tcPr>
            <w:tcW w:w="6236" w:type="dxa"/>
            <w:shd w:val="clear" w:color="auto" w:fill="EBF1F8"/>
          </w:tcPr>
          <w:p w14:paraId="44C4D3AA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ABNT NBR 15.079 e NBR 14.028</w:t>
            </w:r>
          </w:p>
        </w:tc>
      </w:tr>
      <w:tr w:rsidR="001D5A14" w14:paraId="38E7CA9E" w14:textId="77777777">
        <w:trPr>
          <w:jc w:val="center"/>
        </w:trPr>
        <w:tc>
          <w:tcPr>
            <w:tcW w:w="2835" w:type="dxa"/>
          </w:tcPr>
          <w:p w14:paraId="63CF4FF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Cor</w:t>
            </w:r>
          </w:p>
        </w:tc>
        <w:tc>
          <w:tcPr>
            <w:tcW w:w="6236" w:type="dxa"/>
          </w:tcPr>
          <w:p w14:paraId="233B66E9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Marfim (aprovação da fiscalização)</w:t>
            </w:r>
          </w:p>
        </w:tc>
      </w:tr>
      <w:tr w:rsidR="001D5A14" w14:paraId="010C52BC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2F54DE4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Marcas de referência</w:t>
            </w:r>
          </w:p>
        </w:tc>
        <w:tc>
          <w:tcPr>
            <w:tcW w:w="6236" w:type="dxa"/>
            <w:shd w:val="clear" w:color="auto" w:fill="EBF1F8"/>
          </w:tcPr>
          <w:p w14:paraId="65E0EDB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Suvinil Elasticor, Coral Elastex, ou equivalente</w:t>
            </w:r>
          </w:p>
        </w:tc>
      </w:tr>
    </w:tbl>
    <w:p w14:paraId="50CEB430" w14:textId="77777777" w:rsidR="001D5A14" w:rsidRDefault="001D5A14"/>
    <w:p w14:paraId="24E370A1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6.2. Tinta Acrílica Standard — Locais 2 e 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D5A14" w14:paraId="6C85CCE8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4464919A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613294DD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1D5A14" w14:paraId="60EED562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412CC5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403589A8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Acrílica 100% base aquosa, uso exterior</w:t>
            </w:r>
          </w:p>
        </w:tc>
      </w:tr>
      <w:tr w:rsidR="001D5A14" w14:paraId="69C638B4" w14:textId="77777777">
        <w:trPr>
          <w:jc w:val="center"/>
        </w:trPr>
        <w:tc>
          <w:tcPr>
            <w:tcW w:w="2835" w:type="dxa"/>
          </w:tcPr>
          <w:p w14:paraId="457D0B42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Teor de sólidos</w:t>
            </w:r>
          </w:p>
        </w:tc>
        <w:tc>
          <w:tcPr>
            <w:tcW w:w="6236" w:type="dxa"/>
          </w:tcPr>
          <w:p w14:paraId="6925CA1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40% em volume</w:t>
            </w:r>
          </w:p>
        </w:tc>
      </w:tr>
      <w:tr w:rsidR="001D5A14" w14:paraId="56F074B6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747A509E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Anti-fungos / Anti-algas</w:t>
            </w:r>
          </w:p>
        </w:tc>
        <w:tc>
          <w:tcPr>
            <w:tcW w:w="6236" w:type="dxa"/>
            <w:shd w:val="clear" w:color="auto" w:fill="EBF1F8"/>
          </w:tcPr>
          <w:p w14:paraId="1373A79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Sim</w:t>
            </w:r>
          </w:p>
        </w:tc>
      </w:tr>
      <w:tr w:rsidR="001D5A14" w14:paraId="69F00924" w14:textId="77777777">
        <w:trPr>
          <w:jc w:val="center"/>
        </w:trPr>
        <w:tc>
          <w:tcPr>
            <w:tcW w:w="2835" w:type="dxa"/>
          </w:tcPr>
          <w:p w14:paraId="61BA60C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Consumo</w:t>
            </w:r>
          </w:p>
        </w:tc>
        <w:tc>
          <w:tcPr>
            <w:tcW w:w="6236" w:type="dxa"/>
          </w:tcPr>
          <w:p w14:paraId="46208DE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200 g/m² por demão</w:t>
            </w:r>
          </w:p>
        </w:tc>
      </w:tr>
      <w:tr w:rsidR="001D5A14" w14:paraId="680569CC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389B957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Norma</w:t>
            </w:r>
          </w:p>
        </w:tc>
        <w:tc>
          <w:tcPr>
            <w:tcW w:w="6236" w:type="dxa"/>
            <w:shd w:val="clear" w:color="auto" w:fill="EBF1F8"/>
          </w:tcPr>
          <w:p w14:paraId="43C141C8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ABNT NBR 15.079</w:t>
            </w:r>
          </w:p>
        </w:tc>
      </w:tr>
      <w:tr w:rsidR="001D5A14" w14:paraId="7C68D1AB" w14:textId="77777777">
        <w:trPr>
          <w:jc w:val="center"/>
        </w:trPr>
        <w:tc>
          <w:tcPr>
            <w:tcW w:w="2835" w:type="dxa"/>
          </w:tcPr>
          <w:p w14:paraId="32B8B6A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Cor</w:t>
            </w:r>
          </w:p>
        </w:tc>
        <w:tc>
          <w:tcPr>
            <w:tcW w:w="6236" w:type="dxa"/>
          </w:tcPr>
          <w:p w14:paraId="73436AE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Marfim (aprovação da fiscalização)</w:t>
            </w:r>
          </w:p>
        </w:tc>
      </w:tr>
    </w:tbl>
    <w:p w14:paraId="5C407E56" w14:textId="77777777" w:rsidR="001D5A14" w:rsidRDefault="001D5A14"/>
    <w:p w14:paraId="313B94C4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6.3. Tinta Anticorrosiva de Fundo — Local 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D5A14" w14:paraId="5B6822DD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55C6EFC7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4BE9978F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1D5A14" w14:paraId="222E09C0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450E50E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5143695E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Alquídica anticorrosiva (zarcão / cromato de zinco)</w:t>
            </w:r>
          </w:p>
        </w:tc>
      </w:tr>
      <w:tr w:rsidR="001D5A14" w14:paraId="3B494E21" w14:textId="77777777">
        <w:trPr>
          <w:jc w:val="center"/>
        </w:trPr>
        <w:tc>
          <w:tcPr>
            <w:tcW w:w="2835" w:type="dxa"/>
          </w:tcPr>
          <w:p w14:paraId="5B38D2F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Espessura filme seco</w:t>
            </w:r>
          </w:p>
        </w:tc>
        <w:tc>
          <w:tcPr>
            <w:tcW w:w="6236" w:type="dxa"/>
          </w:tcPr>
          <w:p w14:paraId="2E02C4E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40 μm</w:t>
            </w:r>
          </w:p>
        </w:tc>
      </w:tr>
      <w:tr w:rsidR="001D5A14" w14:paraId="58A90DC8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06470AE7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Teor de sólidos</w:t>
            </w:r>
          </w:p>
        </w:tc>
        <w:tc>
          <w:tcPr>
            <w:tcW w:w="6236" w:type="dxa"/>
            <w:shd w:val="clear" w:color="auto" w:fill="EBF1F8"/>
          </w:tcPr>
          <w:p w14:paraId="6E79FB42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≥ 50% em volume</w:t>
            </w:r>
          </w:p>
        </w:tc>
      </w:tr>
    </w:tbl>
    <w:p w14:paraId="6882A6C4" w14:textId="77777777" w:rsidR="001D5A14" w:rsidRDefault="001D5A14"/>
    <w:p w14:paraId="7744A9BB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6.4. Esmalte Sintético Brilhante — Local 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D5A14" w14:paraId="7D1D6490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203066CB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7BE436F6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1D5A14" w14:paraId="0D1F6727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BA7E969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23B2602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Alquídico brilhante</w:t>
            </w:r>
          </w:p>
        </w:tc>
      </w:tr>
      <w:tr w:rsidR="001D5A14" w14:paraId="52FF71A8" w14:textId="77777777">
        <w:trPr>
          <w:jc w:val="center"/>
        </w:trPr>
        <w:tc>
          <w:tcPr>
            <w:tcW w:w="2835" w:type="dxa"/>
          </w:tcPr>
          <w:p w14:paraId="08C4F260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Aplicação</w:t>
            </w:r>
          </w:p>
        </w:tc>
        <w:tc>
          <w:tcPr>
            <w:tcW w:w="6236" w:type="dxa"/>
          </w:tcPr>
          <w:p w14:paraId="069310F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Rolo ou pincel sobre perfil metálico</w:t>
            </w:r>
          </w:p>
        </w:tc>
      </w:tr>
    </w:tbl>
    <w:p w14:paraId="2CB81944" w14:textId="77777777" w:rsidR="001D5A14" w:rsidRDefault="001D5A14"/>
    <w:p w14:paraId="2DAE1A60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6.5. Argamassa de Regularização — Local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D5A14" w14:paraId="6337D353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B369218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478F658E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1D5A14" w14:paraId="1614423D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FB2EFB7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Traço</w:t>
            </w:r>
          </w:p>
        </w:tc>
        <w:tc>
          <w:tcPr>
            <w:tcW w:w="6236" w:type="dxa"/>
            <w:shd w:val="clear" w:color="auto" w:fill="EBF1F8"/>
          </w:tcPr>
          <w:p w14:paraId="3EA3342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1:3 (cimento e areia média úmida) com aditivo impermeabilizante</w:t>
            </w:r>
          </w:p>
        </w:tc>
      </w:tr>
      <w:tr w:rsidR="001D5A14" w14:paraId="2E2576F3" w14:textId="77777777">
        <w:trPr>
          <w:jc w:val="center"/>
        </w:trPr>
        <w:tc>
          <w:tcPr>
            <w:tcW w:w="2835" w:type="dxa"/>
          </w:tcPr>
          <w:p w14:paraId="223DECF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Espessura mínima</w:t>
            </w:r>
          </w:p>
        </w:tc>
        <w:tc>
          <w:tcPr>
            <w:tcW w:w="6236" w:type="dxa"/>
          </w:tcPr>
          <w:p w14:paraId="3CB95CA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2 cm</w:t>
            </w:r>
          </w:p>
        </w:tc>
      </w:tr>
      <w:tr w:rsidR="001D5A14" w14:paraId="102221C3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E5105CA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Cura mínima</w:t>
            </w:r>
          </w:p>
        </w:tc>
        <w:tc>
          <w:tcPr>
            <w:tcW w:w="6236" w:type="dxa"/>
            <w:shd w:val="clear" w:color="auto" w:fill="EBF1F8"/>
          </w:tcPr>
          <w:p w14:paraId="35581B7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7 dias antes da selagem</w:t>
            </w:r>
          </w:p>
        </w:tc>
      </w:tr>
    </w:tbl>
    <w:p w14:paraId="0875E98B" w14:textId="77777777" w:rsidR="001D5A14" w:rsidRDefault="001D5A14"/>
    <w:p w14:paraId="2E8D39B6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6.6. Selador Acrílico — Todos os Locais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D5A14" w14:paraId="77F9E701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7AEBC824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426A02CA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1D5A14" w14:paraId="749D66C3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4920199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6F824BA8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Concentrado, diluído conforme fabricante</w:t>
            </w:r>
          </w:p>
        </w:tc>
      </w:tr>
      <w:tr w:rsidR="001D5A14" w14:paraId="0B100DA0" w14:textId="77777777">
        <w:trPr>
          <w:jc w:val="center"/>
        </w:trPr>
        <w:tc>
          <w:tcPr>
            <w:tcW w:w="2835" w:type="dxa"/>
          </w:tcPr>
          <w:p w14:paraId="557C350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Função</w:t>
            </w:r>
          </w:p>
        </w:tc>
        <w:tc>
          <w:tcPr>
            <w:tcW w:w="6236" w:type="dxa"/>
          </w:tcPr>
          <w:p w14:paraId="190C61C9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Regularização de absorção do substrato</w:t>
            </w:r>
          </w:p>
        </w:tc>
      </w:tr>
    </w:tbl>
    <w:p w14:paraId="01E7700C" w14:textId="77777777" w:rsidR="001D5A14" w:rsidRDefault="001D5A14"/>
    <w:p w14:paraId="26C22353" w14:textId="77777777" w:rsidR="001D5A14" w:rsidRDefault="006F18FA">
      <w:pPr>
        <w:pStyle w:val="Ttulo2"/>
      </w:pPr>
      <w:r>
        <w:rPr>
          <w:rFonts w:ascii="Calibri" w:hAnsi="Calibri"/>
          <w:color w:val="1B3A5C"/>
        </w:rPr>
        <w:t>6.7. Rufo de Alumínio — Local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D5A14" w14:paraId="1F638138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0D1EC05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10581D2A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1D5A14" w14:paraId="6566FECF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4760FFB9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Material</w:t>
            </w:r>
          </w:p>
        </w:tc>
        <w:tc>
          <w:tcPr>
            <w:tcW w:w="6236" w:type="dxa"/>
            <w:shd w:val="clear" w:color="auto" w:fill="EBF1F8"/>
          </w:tcPr>
          <w:p w14:paraId="6F3F2B24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Chapa de alumínio, espessura 0,6 mm, largura 30 cm</w:t>
            </w:r>
          </w:p>
        </w:tc>
      </w:tr>
      <w:tr w:rsidR="001D5A14" w14:paraId="1FAA85FD" w14:textId="77777777">
        <w:trPr>
          <w:jc w:val="center"/>
        </w:trPr>
        <w:tc>
          <w:tcPr>
            <w:tcW w:w="2835" w:type="dxa"/>
          </w:tcPr>
          <w:p w14:paraId="3B4A396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Função</w:t>
            </w:r>
          </w:p>
        </w:tc>
        <w:tc>
          <w:tcPr>
            <w:tcW w:w="6236" w:type="dxa"/>
          </w:tcPr>
          <w:p w14:paraId="29899F21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Proteção contra infiltração nos encontros parede/platibanda</w:t>
            </w:r>
          </w:p>
        </w:tc>
      </w:tr>
    </w:tbl>
    <w:p w14:paraId="6BE2FBF2" w14:textId="77777777" w:rsidR="001D5A14" w:rsidRDefault="001D5A14"/>
    <w:p w14:paraId="7DE8663A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7. NORMAS TÉCNICAS APLICÁVEIS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D5A14" w14:paraId="66645212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57A6ADE3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w="6236" w:type="dxa"/>
            <w:shd w:val="clear" w:color="auto" w:fill="1B3A5C"/>
          </w:tcPr>
          <w:p w14:paraId="3069D02E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 w:rsidR="001D5A14" w14:paraId="28BAA5E3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31AD62D1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lastRenderedPageBreak/>
              <w:t>ABNT NBR 15.079</w:t>
            </w:r>
          </w:p>
        </w:tc>
        <w:tc>
          <w:tcPr>
            <w:tcW w:w="6236" w:type="dxa"/>
            <w:shd w:val="clear" w:color="auto" w:fill="EBF1F8"/>
          </w:tcPr>
          <w:p w14:paraId="63B4C371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Tintas para edificações não industriais — Terminologia</w:t>
            </w:r>
          </w:p>
        </w:tc>
      </w:tr>
      <w:tr w:rsidR="001D5A14" w14:paraId="6F818B46" w14:textId="77777777">
        <w:trPr>
          <w:jc w:val="center"/>
        </w:trPr>
        <w:tc>
          <w:tcPr>
            <w:tcW w:w="2835" w:type="dxa"/>
          </w:tcPr>
          <w:p w14:paraId="1B7AB528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ABNT NBR 14.028</w:t>
            </w:r>
          </w:p>
        </w:tc>
        <w:tc>
          <w:tcPr>
            <w:tcW w:w="6236" w:type="dxa"/>
          </w:tcPr>
          <w:p w14:paraId="4D848224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Tintas para construção civil — Determinação do alongamento</w:t>
            </w:r>
          </w:p>
        </w:tc>
      </w:tr>
      <w:tr w:rsidR="001D5A14" w14:paraId="7FE8D1BC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57C8E15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ABNT NBR 7348 (ISO 8501-1)</w:t>
            </w:r>
          </w:p>
        </w:tc>
        <w:tc>
          <w:tcPr>
            <w:tcW w:w="6236" w:type="dxa"/>
            <w:shd w:val="clear" w:color="auto" w:fill="EBF1F8"/>
          </w:tcPr>
          <w:p w14:paraId="507A53A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Preparação de superfícies de aço — Graus de preparo</w:t>
            </w:r>
          </w:p>
        </w:tc>
      </w:tr>
      <w:tr w:rsidR="001D5A14" w14:paraId="294D6447" w14:textId="77777777">
        <w:trPr>
          <w:jc w:val="center"/>
        </w:trPr>
        <w:tc>
          <w:tcPr>
            <w:tcW w:w="2835" w:type="dxa"/>
          </w:tcPr>
          <w:p w14:paraId="21C31ADA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ABNT NBR 14751</w:t>
            </w:r>
          </w:p>
        </w:tc>
        <w:tc>
          <w:tcPr>
            <w:tcW w:w="6236" w:type="dxa"/>
          </w:tcPr>
          <w:p w14:paraId="54E9D2E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Cadeiras suspensas — Projeto, fabricação e instalação</w:t>
            </w:r>
          </w:p>
        </w:tc>
      </w:tr>
      <w:tr w:rsidR="001D5A14" w14:paraId="58861C30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190CC8A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NR-18</w:t>
            </w:r>
          </w:p>
        </w:tc>
        <w:tc>
          <w:tcPr>
            <w:tcW w:w="6236" w:type="dxa"/>
            <w:shd w:val="clear" w:color="auto" w:fill="EBF1F8"/>
          </w:tcPr>
          <w:p w14:paraId="1A7A150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Condições e Meio Ambiente de Trabalho na Construção</w:t>
            </w:r>
          </w:p>
        </w:tc>
      </w:tr>
      <w:tr w:rsidR="001D5A14" w14:paraId="2659A336" w14:textId="77777777">
        <w:trPr>
          <w:jc w:val="center"/>
        </w:trPr>
        <w:tc>
          <w:tcPr>
            <w:tcW w:w="2835" w:type="dxa"/>
          </w:tcPr>
          <w:p w14:paraId="2BF44B6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w="6236" w:type="dxa"/>
          </w:tcPr>
          <w:p w14:paraId="55FEADA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Trabalho em Altura</w:t>
            </w:r>
          </w:p>
        </w:tc>
      </w:tr>
      <w:tr w:rsidR="001D5A14" w14:paraId="13C19392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57D70E88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NR-06</w:t>
            </w:r>
          </w:p>
        </w:tc>
        <w:tc>
          <w:tcPr>
            <w:tcW w:w="6236" w:type="dxa"/>
            <w:shd w:val="clear" w:color="auto" w:fill="EBF1F8"/>
          </w:tcPr>
          <w:p w14:paraId="70554EE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Equipamentos de Proteção Individual</w:t>
            </w:r>
          </w:p>
        </w:tc>
      </w:tr>
      <w:tr w:rsidR="001D5A14" w14:paraId="79D85194" w14:textId="77777777">
        <w:trPr>
          <w:jc w:val="center"/>
        </w:trPr>
        <w:tc>
          <w:tcPr>
            <w:tcW w:w="2835" w:type="dxa"/>
          </w:tcPr>
          <w:p w14:paraId="044707C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w="6236" w:type="dxa"/>
          </w:tcPr>
          <w:p w14:paraId="3403336B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Nova Lei de Licitações e Contratos Administrativos</w:t>
            </w:r>
          </w:p>
        </w:tc>
      </w:tr>
    </w:tbl>
    <w:p w14:paraId="7ABEA66E" w14:textId="77777777" w:rsidR="001D5A14" w:rsidRDefault="001D5A14"/>
    <w:p w14:paraId="7F03B9FA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8. SEGURANÇA DO TRABALHO</w:t>
      </w:r>
    </w:p>
    <w:p w14:paraId="4D029AF0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Toda equipe deve possuir treinamento em NR-35 (Trabalho em Altura) com certificado vigente;</w:t>
      </w:r>
    </w:p>
    <w:p w14:paraId="77FED169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Utilização obrigatória de cadeira suspensa (balancim) conforme NR-18 e NBR 14751, com kit completo: cinto tipo paraquedista, trava-quedas, linha de vida, capacete com jugular;</w:t>
      </w:r>
    </w:p>
    <w:p w14:paraId="05B49C63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EPIs obrigatórios: luvas nitrílicas, óculos de proteção, protetor respiratório (PFF2) para lixamento, capacete com jugular, calçado de segurança;</w:t>
      </w:r>
    </w:p>
    <w:p w14:paraId="7CE04386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Emitir APR (Análise Preliminar de Risco) e PT (Permissão de Trabalho) antes do início;</w:t>
      </w:r>
    </w:p>
    <w:p w14:paraId="428B6969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DDS (Diálogo Diário de Segurança) com registro em ata assinada;</w:t>
      </w:r>
    </w:p>
    <w:p w14:paraId="7957B330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Sinalização e isolamento das áreas de trabalho com fitas zebradas, cones e placas;</w:t>
      </w:r>
    </w:p>
    <w:p w14:paraId="348234AB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Proteção de esquadrias, vidros e pisos contra respingos com lonas plásticas e fita crepe;</w:t>
      </w:r>
    </w:p>
    <w:p w14:paraId="022B6442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Vedado trabalho em condições de chuva, vento forte (&gt; 40 km/h) ou superfície úmida.</w:t>
      </w:r>
    </w:p>
    <w:p w14:paraId="55B1ED2D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9. CONDIÇÕES AMBIENTAIS PARA APLICAÇÃO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1D5A14" w14:paraId="528321D3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5E4AFD8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5669" w:type="dxa"/>
            <w:shd w:val="clear" w:color="auto" w:fill="1B3A5C"/>
          </w:tcPr>
          <w:p w14:paraId="513AA971" w14:textId="77777777" w:rsidR="001D5A14" w:rsidRDefault="006F18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Limite</w:t>
            </w:r>
          </w:p>
        </w:tc>
      </w:tr>
      <w:tr w:rsidR="001D5A14" w14:paraId="5E84D068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0BB58A53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Temperatura ambiente</w:t>
            </w:r>
          </w:p>
        </w:tc>
        <w:tc>
          <w:tcPr>
            <w:tcW w:w="5669" w:type="dxa"/>
            <w:shd w:val="clear" w:color="auto" w:fill="EBF1F8"/>
          </w:tcPr>
          <w:p w14:paraId="4E88507E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Entre 10°C e 35°C</w:t>
            </w:r>
          </w:p>
        </w:tc>
      </w:tr>
      <w:tr w:rsidR="001D5A14" w14:paraId="6F52EAA4" w14:textId="77777777">
        <w:trPr>
          <w:jc w:val="center"/>
        </w:trPr>
        <w:tc>
          <w:tcPr>
            <w:tcW w:w="3402" w:type="dxa"/>
          </w:tcPr>
          <w:p w14:paraId="283C0F6F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Umidade relativa do ar</w:t>
            </w:r>
          </w:p>
        </w:tc>
        <w:tc>
          <w:tcPr>
            <w:tcW w:w="5669" w:type="dxa"/>
          </w:tcPr>
          <w:p w14:paraId="2328CD2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Máxima de 85%</w:t>
            </w:r>
          </w:p>
        </w:tc>
      </w:tr>
      <w:tr w:rsidR="001D5A14" w14:paraId="75FE6455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5B008C7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Umidade superficial do substrato</w:t>
            </w:r>
          </w:p>
        </w:tc>
        <w:tc>
          <w:tcPr>
            <w:tcW w:w="5669" w:type="dxa"/>
            <w:shd w:val="clear" w:color="auto" w:fill="EBF1F8"/>
          </w:tcPr>
          <w:p w14:paraId="3F1A7B71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Máxima de 8% (aferida por higrômetro)</w:t>
            </w:r>
          </w:p>
        </w:tc>
      </w:tr>
      <w:tr w:rsidR="001D5A14" w14:paraId="15F0CE01" w14:textId="77777777">
        <w:trPr>
          <w:jc w:val="center"/>
        </w:trPr>
        <w:tc>
          <w:tcPr>
            <w:tcW w:w="3402" w:type="dxa"/>
          </w:tcPr>
          <w:p w14:paraId="3B5BF941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Aplicação sobre substrato úmido</w:t>
            </w:r>
          </w:p>
        </w:tc>
        <w:tc>
          <w:tcPr>
            <w:tcW w:w="5669" w:type="dxa"/>
          </w:tcPr>
          <w:p w14:paraId="52760D80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Vedada</w:t>
            </w:r>
          </w:p>
        </w:tc>
      </w:tr>
      <w:tr w:rsidR="001D5A14" w14:paraId="7702EC90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521BC26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Chuva / Previsão de chuva</w:t>
            </w:r>
          </w:p>
        </w:tc>
        <w:tc>
          <w:tcPr>
            <w:tcW w:w="5669" w:type="dxa"/>
            <w:shd w:val="clear" w:color="auto" w:fill="EBF1F8"/>
          </w:tcPr>
          <w:p w14:paraId="0DFE7CB5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Vedada aplicação nas próximas 4 horas</w:t>
            </w:r>
          </w:p>
        </w:tc>
      </w:tr>
      <w:tr w:rsidR="001D5A14" w14:paraId="745273D8" w14:textId="77777777">
        <w:trPr>
          <w:jc w:val="center"/>
        </w:trPr>
        <w:tc>
          <w:tcPr>
            <w:tcW w:w="3402" w:type="dxa"/>
          </w:tcPr>
          <w:p w14:paraId="463A5516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Cura da argamassa</w:t>
            </w:r>
          </w:p>
        </w:tc>
        <w:tc>
          <w:tcPr>
            <w:tcW w:w="5669" w:type="dxa"/>
          </w:tcPr>
          <w:p w14:paraId="46DF01B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Mínimo 7 dias antes da selagem</w:t>
            </w:r>
          </w:p>
        </w:tc>
      </w:tr>
      <w:tr w:rsidR="001D5A14" w14:paraId="3292405F" w14:textId="77777777">
        <w:trPr>
          <w:jc w:val="center"/>
        </w:trPr>
        <w:tc>
          <w:tcPr>
            <w:tcW w:w="3402" w:type="dxa"/>
            <w:shd w:val="clear" w:color="auto" w:fill="EBF1F8"/>
          </w:tcPr>
          <w:p w14:paraId="1A330A8D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Intervalo entre demãos</w:t>
            </w:r>
          </w:p>
        </w:tc>
        <w:tc>
          <w:tcPr>
            <w:tcW w:w="5669" w:type="dxa"/>
            <w:shd w:val="clear" w:color="auto" w:fill="EBF1F8"/>
          </w:tcPr>
          <w:p w14:paraId="3328780C" w14:textId="77777777" w:rsidR="001D5A14" w:rsidRDefault="006F18FA">
            <w:r>
              <w:rPr>
                <w:rFonts w:ascii="Calibri" w:hAnsi="Calibri"/>
                <w:color w:val="333333"/>
                <w:sz w:val="18"/>
              </w:rPr>
              <w:t>Mínimo 4 horas</w:t>
            </w:r>
          </w:p>
        </w:tc>
      </w:tr>
    </w:tbl>
    <w:p w14:paraId="679A08BE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10. QUALIFICAÇÃO TÉCNICA EXIGIDA</w:t>
      </w:r>
    </w:p>
    <w:p w14:paraId="1B4E607B" w14:textId="77777777" w:rsidR="001D5A14" w:rsidRDefault="006F18FA">
      <w:pPr>
        <w:spacing w:after="120"/>
      </w:pPr>
      <w:r>
        <w:rPr>
          <w:rFonts w:ascii="Calibri" w:hAnsi="Calibri"/>
          <w:color w:val="333333"/>
        </w:rPr>
        <w:t>A empresa licitante deverá comprovar, na fase de habilitação técnica:</w:t>
      </w:r>
    </w:p>
    <w:p w14:paraId="28D8010A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Registro ativo no CREA com habilitação para serviços de engenharia civil;</w:t>
      </w:r>
    </w:p>
    <w:p w14:paraId="01AC9283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Responsável técnico (engenheiro civil) com experiência comprovada em pintura de fachadas de edifícios de múltiplos pavimentos;</w:t>
      </w:r>
    </w:p>
    <w:p w14:paraId="547D4FB4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Atestado(s) de capacidade técnica para pintura de fachada com utilização de cadeira suspensa (balancim) e/ou trabalho em altura, com área mínima compatível com o objeto (3.562 m² de pintura elastomérica em fachada);</w:t>
      </w:r>
    </w:p>
    <w:p w14:paraId="66679B5C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Comprovação de treinamento NR-35 para toda a equipe que atuará em altura;</w:t>
      </w:r>
    </w:p>
    <w:p w14:paraId="2FC009A4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lastRenderedPageBreak/>
        <w:t>Seguro de responsabilidade civil profissional vigente.</w:t>
      </w:r>
    </w:p>
    <w:p w14:paraId="753E9DA9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11. OBRIGAÇÕES DA CONTRATADA</w:t>
      </w:r>
    </w:p>
    <w:p w14:paraId="7E33485D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Executar os serviços em estrita conformidade com esta Especificação Técnica;</w:t>
      </w:r>
    </w:p>
    <w:p w14:paraId="106C0E40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Fornecer todos os materiais, equipamentos (balancins, lavadoras de alta pressão), ferramentas e EPIs;</w:t>
      </w:r>
    </w:p>
    <w:p w14:paraId="1C6B6779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Emitir ART junto ao CREA/ES para os serviços executados;</w:t>
      </w:r>
    </w:p>
    <w:p w14:paraId="5F6D459A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Proteger esquadrias, vidros, pisos, calçadas e áreas adjacentes contra respingos;</w:t>
      </w:r>
    </w:p>
    <w:p w14:paraId="7E140B12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Responsabilizar-se integralmente por danos causados ao patrimônio público;</w:t>
      </w:r>
    </w:p>
    <w:p w14:paraId="61F9A17B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Realizar registro fotográfico completo (antes/durante/após) de todas as etapas;</w:t>
      </w:r>
    </w:p>
    <w:p w14:paraId="40B4D3E9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Apresentar fichas técnicas de todos os materiais para aprovação da fiscalização;</w:t>
      </w:r>
    </w:p>
    <w:p w14:paraId="74325E85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Apresentar amostra de cor da tinta para aprovação da fiscalização antes do início;</w:t>
      </w:r>
    </w:p>
    <w:p w14:paraId="4B60FC17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Garantia mínima de 5 (cinco) anos para pintura elastomérica e 3 (três) anos para pintura acrílica e esmalte sintético;</w:t>
      </w:r>
    </w:p>
    <w:p w14:paraId="62B3EE39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Limpeza diária ao final de cada jornada.</w:t>
      </w:r>
    </w:p>
    <w:p w14:paraId="2BC6E1D1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12. OBRIGAÇÕES DA CONTRATANTE</w:t>
      </w:r>
    </w:p>
    <w:p w14:paraId="07D1D1FE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Liberar permissão de trabalho e acesso controlado a todas as edificações;</w:t>
      </w:r>
    </w:p>
    <w:p w14:paraId="1771A031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Disponibilizar projetos arquitetônicos e documentos técnicos necessários;</w:t>
      </w:r>
    </w:p>
    <w:p w14:paraId="7D1B4400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Designar fiscalização técnica para acompanhamento dos serviços;</w:t>
      </w:r>
    </w:p>
    <w:p w14:paraId="1A0CA9CA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Aprovar cor/tonalidade da tinta (marfim) antes do início da execução;</w:t>
      </w:r>
    </w:p>
    <w:p w14:paraId="72DA7289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Comunicar os ocupantes dos edifícios sobre o cronograma de execução.</w:t>
      </w:r>
    </w:p>
    <w:p w14:paraId="4168EEE6" w14:textId="77777777" w:rsidR="001D5A14" w:rsidRDefault="006F18FA">
      <w:pPr>
        <w:pStyle w:val="Ttulo1"/>
      </w:pPr>
      <w:r>
        <w:rPr>
          <w:rFonts w:ascii="Calibri" w:hAnsi="Calibri"/>
          <w:color w:val="1B3A5C"/>
        </w:rPr>
        <w:t>13. DISPOSIÇÕES GERAIS</w:t>
      </w:r>
    </w:p>
    <w:p w14:paraId="71A1D494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Os serviços deverão ser executados de segunda a sexta, das 08h às 17h, salvo autorização expressa da fiscalização;</w:t>
      </w:r>
    </w:p>
    <w:p w14:paraId="6865289A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Quaisquer serviços fora do escopo técnico serão objeto de aditivo contratual;</w:t>
      </w:r>
    </w:p>
    <w:p w14:paraId="0BD37916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Os casos omissos serão resolvidos pela fiscalização, com base nas normas aplicáveis;</w:t>
      </w:r>
    </w:p>
    <w:p w14:paraId="4AD8EC00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 Contratada deverá reparar, às suas expensas, quaisquer danos causados às instalações;</w:t>
      </w:r>
    </w:p>
    <w:p w14:paraId="7EE29FE0" w14:textId="77777777" w:rsidR="001D5A14" w:rsidRDefault="006F18FA">
      <w:pPr>
        <w:pStyle w:val="Commarcadores"/>
      </w:pPr>
      <w:r>
        <w:rPr>
          <w:rFonts w:ascii="Calibri" w:hAnsi="Calibri"/>
          <w:color w:val="333333"/>
        </w:rPr>
        <w:t>A cor final da pintura (marfim) será definida mediante apresentação de cartela de cores pela Contratada e aprovação formal pela fiscalização.</w:t>
      </w:r>
    </w:p>
    <w:p w14:paraId="75A05B07" w14:textId="77777777" w:rsidR="001D5A14" w:rsidRDefault="001D5A14"/>
    <w:p w14:paraId="23D11BF9" w14:textId="77777777" w:rsidR="001D5A14" w:rsidRDefault="006F18FA">
      <w:pPr>
        <w:spacing w:after="600"/>
        <w:jc w:val="center"/>
      </w:pPr>
      <w:r>
        <w:rPr>
          <w:rFonts w:ascii="Calibri" w:hAnsi="Calibri"/>
          <w:color w:val="333333"/>
        </w:rPr>
        <w:t>Vitória/ES, maio de 2026.</w:t>
      </w:r>
    </w:p>
    <w:p w14:paraId="1FCEC2B9" w14:textId="77777777" w:rsidR="001D5A14" w:rsidRDefault="006F18FA">
      <w:pPr>
        <w:jc w:val="center"/>
      </w:pPr>
      <w:r>
        <w:rPr>
          <w:color w:val="333333"/>
          <w:sz w:val="20"/>
        </w:rPr>
        <w:t>__________________________________________________</w:t>
      </w:r>
    </w:p>
    <w:p w14:paraId="5A10F525" w14:textId="77777777" w:rsidR="001D5A14" w:rsidRDefault="006F18FA">
      <w:pPr>
        <w:spacing w:after="40"/>
        <w:jc w:val="center"/>
      </w:pPr>
      <w:r>
        <w:rPr>
          <w:rFonts w:ascii="Calibri" w:hAnsi="Calibri"/>
          <w:b/>
          <w:color w:val="333333"/>
        </w:rPr>
        <w:t>Luis Fernando</w:t>
      </w:r>
    </w:p>
    <w:p w14:paraId="57996049" w14:textId="77777777" w:rsidR="001D5A14" w:rsidRDefault="006F18FA">
      <w:pPr>
        <w:spacing w:after="120"/>
        <w:jc w:val="center"/>
      </w:pPr>
      <w:r>
        <w:rPr>
          <w:rFonts w:ascii="Calibri" w:hAnsi="Calibri"/>
          <w:color w:val="333333"/>
          <w:sz w:val="20"/>
        </w:rPr>
        <w:t>Setor de Engenharia — SRAES/MGI</w:t>
      </w:r>
    </w:p>
    <w:sectPr w:rsidR="001D5A1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209708">
    <w:abstractNumId w:val="8"/>
  </w:num>
  <w:num w:numId="2" w16cid:durableId="452136226">
    <w:abstractNumId w:val="6"/>
  </w:num>
  <w:num w:numId="3" w16cid:durableId="673873821">
    <w:abstractNumId w:val="5"/>
  </w:num>
  <w:num w:numId="4" w16cid:durableId="1396853657">
    <w:abstractNumId w:val="4"/>
  </w:num>
  <w:num w:numId="5" w16cid:durableId="1220553708">
    <w:abstractNumId w:val="7"/>
  </w:num>
  <w:num w:numId="6" w16cid:durableId="1778407006">
    <w:abstractNumId w:val="3"/>
  </w:num>
  <w:num w:numId="7" w16cid:durableId="1854613244">
    <w:abstractNumId w:val="2"/>
  </w:num>
  <w:num w:numId="8" w16cid:durableId="641157438">
    <w:abstractNumId w:val="1"/>
  </w:num>
  <w:num w:numId="9" w16cid:durableId="199559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F7F"/>
    <w:rsid w:val="0015074B"/>
    <w:rsid w:val="001D5A14"/>
    <w:rsid w:val="0029639D"/>
    <w:rsid w:val="00326F90"/>
    <w:rsid w:val="006F18FA"/>
    <w:rsid w:val="00AA1D8D"/>
    <w:rsid w:val="00AE3E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25556E6-0A4C-4FD4-B834-F50A9333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1763</Words>
  <Characters>10420</Characters>
  <Application>Microsoft Office Word</Application>
  <DocSecurity>0</DocSecurity>
  <Lines>336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Fernando Dias</cp:lastModifiedBy>
  <cp:revision>3</cp:revision>
  <dcterms:created xsi:type="dcterms:W3CDTF">2013-12-23T23:15:00Z</dcterms:created>
  <dcterms:modified xsi:type="dcterms:W3CDTF">2026-05-27T16:09:00Z</dcterms:modified>
  <cp:category/>
</cp:coreProperties>
</file>