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B3A5C"/>
          <w:sz w:val="28"/>
        </w:rPr>
        <w:t>MINISTÉRIO DA GESTÃO E DA INOVAÇÃO EM SERVIÇOS PÚBLICOS</w:t>
      </w:r>
    </w:p>
    <w:p>
      <w:pPr>
        <w:spacing w:after="480"/>
        <w:jc w:val="center"/>
      </w:pPr>
      <w:r>
        <w:rPr>
          <w:rFonts w:ascii="Calibri" w:hAnsi="Calibri"/>
          <w:b/>
          <w:color w:val="2E5E8E"/>
          <w:sz w:val="24"/>
        </w:rPr>
        <w:t>SUPERINTENDÊNCIA DE ADMINISTRAÇÃO NO ESPÍRITO SANTO — SRAES</w:t>
      </w:r>
    </w:p>
    <w:p>
      <w:pPr>
        <w:jc w:val="center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/>
    <w:p/>
    <w:p>
      <w:pPr>
        <w:spacing w:after="160"/>
        <w:jc w:val="center"/>
      </w:pPr>
      <w:r>
        <w:rPr>
          <w:rFonts w:ascii="Calibri" w:hAnsi="Calibri"/>
          <w:b/>
          <w:color w:val="1B3A5C"/>
          <w:sz w:val="36"/>
        </w:rPr>
        <w:t>ESPECIFICAÇÃO TÉCNICA</w:t>
      </w:r>
    </w:p>
    <w:p>
      <w:pPr>
        <w:spacing w:after="160"/>
        <w:jc w:val="center"/>
      </w:pPr>
      <w:r>
        <w:rPr>
          <w:rFonts w:ascii="Calibri" w:hAnsi="Calibri"/>
          <w:b/>
          <w:color w:val="2E5E8E"/>
          <w:sz w:val="28"/>
        </w:rPr>
        <w:t>Impermeabilização da Cisterna no Subsolo</w:t>
        <w:br/>
        <w:t>do Edifício Sede MGI/ES</w:t>
      </w:r>
    </w:p>
    <w:p>
      <w:pPr>
        <w:spacing w:after="480"/>
        <w:jc w:val="center"/>
      </w:pPr>
      <w:r>
        <w:rPr>
          <w:rFonts w:ascii="Calibri" w:hAnsi="Calibri"/>
          <w:b w:val="0"/>
          <w:color w:val="333333"/>
          <w:sz w:val="24"/>
        </w:rPr>
        <w:t>Vitória/ES</w:t>
      </w:r>
    </w:p>
    <w:p/>
    <w:p/>
    <w:p/>
    <w:p>
      <w:pPr>
        <w:spacing w:after="80"/>
        <w:jc w:val="center"/>
      </w:pPr>
      <w:r>
        <w:rPr>
          <w:rFonts w:ascii="Calibri" w:hAnsi="Calibri"/>
          <w:b w:val="0"/>
          <w:color w:val="333333"/>
          <w:sz w:val="24"/>
        </w:rPr>
        <w:t>Maio de 2026</w:t>
      </w:r>
    </w:p>
    <w:p>
      <w:pPr>
        <w:spacing w:after="120"/>
        <w:jc w:val="center"/>
      </w:pPr>
      <w:r>
        <w:rPr>
          <w:rFonts w:ascii="Calibri" w:hAnsi="Calibri"/>
          <w:b/>
          <w:color w:val="2E5E8E"/>
          <w:sz w:val="22"/>
        </w:rPr>
        <w:t>Setor de Engenharia — SRAES/MGI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1. OBJETO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Contratação de empresa especializada para execução dos serviços de recuperação e impermeabilização da cisterna (reservatório inferior enterrado de água potável), localizada no subsolo da garagem do Edifício Sede do Ministério da Gestão e da Inovação em Serviços Públicos (MGI), em Vitória/ES.</w:t>
      </w:r>
    </w:p>
    <w:p>
      <w:pPr>
        <w:spacing w:after="200"/>
      </w:pPr>
      <w:r>
        <w:rPr>
          <w:rFonts w:ascii="Calibri" w:hAnsi="Calibri"/>
          <w:b w:val="0"/>
          <w:color w:val="333333"/>
          <w:sz w:val="22"/>
        </w:rPr>
        <w:t>A execução dos serviços envolverá demolição do revestimento existente, preparo mecânico da base de concreto e aplicação de sistema de impermeabilização por cristalização de base mineral (penetração por osmose), próprio para áreas sujeitas a lençol freático (pressão hidrostática negativa e positiva), seguido de recomposição do revestimento com argamassa impermeabilizante.</w:t>
      </w:r>
    </w:p>
    <w:p>
      <w:pPr>
        <w:pStyle w:val="Heading1"/>
      </w:pPr>
      <w:r>
        <w:rPr>
          <w:rFonts w:ascii="Calibri" w:hAnsi="Calibri"/>
          <w:color w:val="1B3A5C"/>
        </w:rPr>
        <w:t>2. DADOS DO RESERVATÓRIO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Edificação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Edifício Sede MGI/ES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Endereço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Rua Pietrangelo de Biase, 56 — Centro, Vitória/ES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Localização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Subsolo da garagem (enterrado)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Tipo de reservatório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Cisterna para água potável em concreto armado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Área interna estimada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105 m² (fundo e paredes)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Sistema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Cristalização por osmose (base mineral) + Argamassa polimérica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3. ESCOPO TÉCNICO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execução dos serviços obedecerá rigorosamente à seguinte sequência técnica:</w:t>
      </w:r>
    </w:p>
    <w:p>
      <w:pPr>
        <w:pStyle w:val="Heading2"/>
      </w:pPr>
      <w:r>
        <w:rPr>
          <w:rFonts w:ascii="Calibri" w:hAnsi="Calibri"/>
          <w:color w:val="1B3A5C"/>
        </w:rPr>
        <w:t>3.1. Preparo da Superfície e Demolição (Base)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Esgotamento total, drenagem e limpeza primária do reservatório;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Demolição manual e mecânica de todo o revestimento antigo de argamassa e da camada de impermeabilizante preexistente até a exposição do concreto são;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Remoção mecânica de nata de cimento, desmoldantes e pintura betuminosa residual utilizando escovas de aço e apicoamento de concreto em toda a extensão (105 m²), criando perfil de ancoragem adequado;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Limpeza e lixamento das paredes e fundo para remoção completa de pó e partículas soltas antes da aplicação dos produtos.</w:t>
      </w:r>
    </w:p>
    <w:p>
      <w:pPr>
        <w:pStyle w:val="Heading2"/>
      </w:pPr>
      <w:r>
        <w:rPr>
          <w:rFonts w:ascii="Calibri" w:hAnsi="Calibri"/>
          <w:color w:val="1B3A5C"/>
        </w:rPr>
        <w:t>3.2. Tratamento de Fissuras e Juntas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Mapeamento e abertura de fissuras, trincas, juntas de concretagem e nichos de segregação em formato de "V";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Selamento e preenchimento com cimento de pega ultrarrápida para estancamento de minas d'água (pressão negativa).</w:t>
      </w:r>
    </w:p>
    <w:p>
      <w:pPr>
        <w:pStyle w:val="Heading2"/>
      </w:pPr>
      <w:r>
        <w:rPr>
          <w:rFonts w:ascii="Calibri" w:hAnsi="Calibri"/>
          <w:color w:val="1B3A5C"/>
        </w:rPr>
        <w:t>3.3. Impermeabilização por Cristalização (Osmose)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Saturação prévia da superfície com água limpa para ativar a reação osmótica;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Aplicação do sistema composto por 3 produtos de base mineral: (1) cimento cristalizante de pega rápida; (2) líquido selador mineral base silicato (0,7 kg/m²); e (3) cimento cristalizante de acabamento (1,6 kg/m²);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Os cristais insolúveis deverão penetrar nos capilares do concreto, bloqueando a passagem da água (pressão positiva e negativa).</w:t>
      </w:r>
    </w:p>
    <w:p>
      <w:pPr>
        <w:pStyle w:val="Heading2"/>
      </w:pPr>
      <w:r>
        <w:rPr>
          <w:rFonts w:ascii="Calibri" w:hAnsi="Calibri"/>
          <w:color w:val="1B3A5C"/>
        </w:rPr>
        <w:t>3.4. Revestimento de Proteção e Acabamento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Chapisco aderente sobre a superfície impermeabilizada (quando recomendado);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Revestimento em argamassa traço 1:3 (cimento e areia média) com adição de aditivo impermeabilizante na água de amassamento;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Execução de meia-cana nos encontros entre piso e paredes;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Acabamento desempenado liso, sem fissuras.</w:t>
      </w:r>
    </w:p>
    <w:p>
      <w:pPr>
        <w:pStyle w:val="Heading2"/>
      </w:pPr>
      <w:r>
        <w:rPr>
          <w:rFonts w:ascii="Calibri" w:hAnsi="Calibri"/>
          <w:color w:val="1B3A5C"/>
        </w:rPr>
        <w:t>3.5. Limpeza Final e Desinfecção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Limpeza geral com água potável após cura;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Desinfecção bacteriológica da cisterna conforme vigilância sanitária;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Teste de estanqueidade com duração mínima de 72 horas.</w:t>
      </w:r>
    </w:p>
    <w:p>
      <w:pPr>
        <w:pStyle w:val="Heading1"/>
      </w:pPr>
      <w:r>
        <w:rPr>
          <w:rFonts w:ascii="Calibri" w:hAnsi="Calibri"/>
          <w:color w:val="1B3A5C"/>
        </w:rPr>
        <w:t>4. ESPECIFICAÇÃO DOS MATERIAIS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Especificação Mínima Obrigatória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Cimento Cristalizante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Base mineral (osmose), atóxico. Pega rápida.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Líquido Selador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Base de silicato. Consumo mínimo de 0,7 kg/m².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Aditivo Impermeabilizante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Hidrófugo de massa, isento de cloretos.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Argamassa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Cimento Portland e areia média lavada (Traço 1:3).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Água de amassamento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Água potável, isenta de sais e matéria orgânica.</w:t>
            </w:r>
          </w:p>
        </w:tc>
      </w:tr>
    </w:tbl>
    <w:p>
      <w:pPr>
        <w:spacing w:after="200"/>
      </w:pPr>
      <w:r>
        <w:rPr>
          <w:rFonts w:ascii="Calibri" w:hAnsi="Calibri"/>
          <w:b/>
          <w:color w:val="C0392B"/>
          <w:sz w:val="20"/>
        </w:rPr>
        <w:t>IMPORTANTE: Potabilidade. Todos os produtos aplicados que entrarem em contato com a água deverão possuir laudo laboratorial comprovando sua não toxicidade e aptidão para contato com água potável (Portaria MS 888/2021).</w:t>
      </w:r>
    </w:p>
    <w:p>
      <w:pPr>
        <w:pStyle w:val="Heading1"/>
      </w:pPr>
      <w:r>
        <w:rPr>
          <w:rFonts w:ascii="Calibri" w:hAnsi="Calibri"/>
          <w:color w:val="1B3A5C"/>
        </w:rPr>
        <w:t>5. NORMAS TÉCNICAS E LEGISLAÇÃO APLICÁVEL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Norma / Legislação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ABNT NBR 9575:2010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Impermeabilização — Seleção e projeto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ABNT NBR 9574:2008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Execução de impermeabilização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ABNT NBR 12170:1998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Materiais de impermeabilização para águas potáveis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NR-33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Trabalhos em Espaços Confinados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NR-18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Saúde e Segurança na Indústria da Construção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 14.133/2021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Nova Lei de Licitações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6. SEGURANÇA DO TRABALHO (ESPAÇO CONFINADO)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cisterna do subsolo é rigorosamente classificada como Espaço Confinado (NR-33):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Treinamento e Certificação: Equipe com treinamento NR-33 atualizado (Trabalhadores Autorizados e Vigias) e ASO apto para espaço confinado;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Gestão de Risco: Emissão de APR e PT antes de cada entrada na cisterna;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Atmosfera e Ventilação: Uso de detector multi-gás e instalação de exaustor/insuflador mecânico para renovação contínua do ar (remoção do pó da demolição);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Resgate: Presença ininterrupta do Vigia no lado externo com tripé e guincho de resgate instalados;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EPIs obrigatórios: Máscara PFF2, óculos vedado, capacete com jugular, luvas e botas de borracha, cinto paraquedista acoplado ao resgate.</w:t>
      </w:r>
    </w:p>
    <w:p>
      <w:pPr>
        <w:pStyle w:val="Heading1"/>
      </w:pPr>
      <w:r>
        <w:rPr>
          <w:rFonts w:ascii="Calibri" w:hAnsi="Calibri"/>
          <w:color w:val="1B3A5C"/>
        </w:rPr>
        <w:t>7. CONDIÇÕES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Condição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Logística da Água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Contratada respeitará prazos de interrupção do abastecimento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Gestão de Entulho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Retirada imediata dos resíduos (revestimento demolido) da garagem para caçamba externa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Ruído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 apicoamento gera ruído. Horários acordados com a fiscalização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Cura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Respeitar o tempo de cura dos cristalizantes antes do teste de carga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8. QUALIFICAÇÃO TÉCNICA EXIGIDA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empresa licitante deverá comprovar, na fase de habilitação técnica: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Registro ativo no CREA com habilitação em engenharia civil;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Atestado(s) de capacidade técnica comprovando execução de impermeabilização de reservatórios enterrados utilizando cristalização osmótica (área mínima compatível);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Equipe devidamente certificada em NR-33 (Espaço Confinado).</w:t>
      </w:r>
    </w:p>
    <w:p>
      <w:pPr>
        <w:pStyle w:val="Heading1"/>
      </w:pPr>
      <w:r>
        <w:rPr>
          <w:rFonts w:ascii="Calibri" w:hAnsi="Calibri"/>
          <w:color w:val="1B3A5C"/>
        </w:rPr>
        <w:t>9. OBRIGAÇÕES DA CONTRATADA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Executar conforme Especificação Técnica, normas da ABNT e NR-33;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Fornecer materiais, equipamentos de demolição, ventilação e EPIs/EPCs;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Apresentar FISPQ e laudos de potabilidade dos impermeabilizantes antes da aplicação;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Emitir a Anotação de Responsabilidade Técnica (ART);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Remoção e descarte legal do entulho gerado pela demolição;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Garantia mínima de 5 (cinco) anos contra vazamentos, infiltrações e descolamentos.</w:t>
      </w:r>
    </w:p>
    <w:p>
      <w:pPr>
        <w:pStyle w:val="Heading1"/>
      </w:pPr>
      <w:r>
        <w:rPr>
          <w:rFonts w:ascii="Calibri" w:hAnsi="Calibri"/>
          <w:color w:val="1B3A5C"/>
        </w:rPr>
        <w:t>10. OBRIGAÇÕES DA CONTRATANTE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Esvaziar a cisterna previamente à chegada da Contratada;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Garantir abastecimento provisório para não desabastecer o edifício;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Liberar pontos de energia elétrica e iluminação;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Designar fiscalização técnica para acompanhamento das etapas críticas.</w:t>
      </w:r>
    </w:p>
    <w:p>
      <w:pPr>
        <w:pStyle w:val="Heading1"/>
      </w:pPr>
      <w:r>
        <w:rPr>
          <w:rFonts w:ascii="Calibri" w:hAnsi="Calibri"/>
          <w:color w:val="1B3A5C"/>
        </w:rPr>
        <w:t>11. DISPOSIÇÕES GERAIS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Durante o teste de estanqueidade (72 horas), qualquer queda de nível não justificada por evaporação obrigará a Contratada a refazer o tratamento nos pontos falhos e reiniciar o teste, sem ônus;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Os casos omissos serão resolvidos em comum acordo com a fiscalização do MGI.</w:t>
      </w:r>
    </w:p>
    <w:p/>
    <w:p/>
    <w:p>
      <w:pPr>
        <w:spacing w:after="600"/>
        <w:jc w:val="center"/>
      </w:pPr>
      <w:r>
        <w:rPr>
          <w:rFonts w:ascii="Calibri" w:hAnsi="Calibri"/>
          <w:b w:val="0"/>
          <w:color w:val="333333"/>
          <w:sz w:val="22"/>
        </w:rPr>
        <w:t>Vitória/ES, maio de 2026.</w:t>
      </w:r>
    </w:p>
    <w:p/>
    <w:p/>
    <w:p>
      <w:pPr>
        <w:jc w:val="center"/>
      </w:pPr>
      <w:r>
        <w:rPr>
          <w:color w:val="333333"/>
          <w:sz w:val="20"/>
        </w:rPr>
        <w:t>__________________________________________________</w:t>
      </w:r>
    </w:p>
    <w:p>
      <w:pPr>
        <w:spacing w:after="40"/>
        <w:jc w:val="center"/>
      </w:pPr>
      <w:r>
        <w:rPr>
          <w:rFonts w:ascii="Calibri" w:hAnsi="Calibri"/>
          <w:b/>
          <w:color w:val="333333"/>
          <w:sz w:val="22"/>
        </w:rPr>
        <w:t>Luis Fernando</w:t>
      </w:r>
    </w:p>
    <w:p>
      <w:pPr>
        <w:spacing w:after="120"/>
        <w:jc w:val="center"/>
      </w:pPr>
      <w:r>
        <w:rPr>
          <w:rFonts w:ascii="Calibri" w:hAnsi="Calibri"/>
          <w:b w:val="0"/>
          <w:color w:val="333333"/>
          <w:sz w:val="20"/>
        </w:rPr>
        <w:t>Setor de Engenharia — SRAES/MGI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