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MEMORIAL DE JUSTIFICATIVA TÉCNICA E CÁLCULO DO BDI (25,00%)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E0E0E0"/>
                <w:sz w:val="17"/>
              </w:rPr>
              <w:t>Serviço: Impermeabilização da Cisterna no Subsolo da Garagem do Edifício Sede MGI/ES | Vitória/ES | Regime Desonerado</w:t>
            </w:r>
          </w:p>
        </w:tc>
      </w:tr>
    </w:tbl>
    <w:p>
      <w:pPr>
        <w:spacing w:before="80" w:after="40"/>
      </w:pPr>
    </w:p>
    <w:p>
      <w:pPr>
        <w:spacing w:before="80" w:after="40"/>
      </w:pPr>
      <w:r>
        <w:rPr>
          <w:b/>
          <w:color w:val="1F4E78"/>
          <w:sz w:val="19"/>
        </w:rPr>
        <w:t>1. OBJETO E MARCO REFERENCIAL (ACÓRDÃO TCU Nº 2.622/2013 – PLENÁRIO)</w:t>
      </w:r>
    </w:p>
    <w:p>
      <w:pPr>
        <w:spacing w:before="0" w:after="80" w:line="252" w:lineRule="auto"/>
        <w:jc w:val="both"/>
      </w:pPr>
      <w:r>
        <w:t>O presente memorial fundamenta a adoção da taxa de BDI de 25,00% (Desonerado) para os serviços de drenagem, esgotamento, demolição de revestimento degradado, apicoamento, tratamento de trincas/fissuras com cimento ultrarrápido contra pressões hidrostáticas, impermeabilização por cristalização mineral (osmose), revestimento de proteção em argamassa impermeabilizada e desinfecção da cisterna de água potável no subsolo do Edifício Sede MGI/ES em Vitória/ES. Conforme o Acórdão TCU nº 2.622/2013 (Reforma e Manutenção de Edifícios), a faixa referencial situa-se entre 20,34% (1º Quartil), 22,12% (Médio) e 25,00% (3º Quartil). Demonstra-se a seguir que a opção pelo limite superior (25,00%) decorre estritamente da alíquota tributária municipal local e da elevada gravidade de riscos operacionais, exigências de segurança em espaço confinado (NR-33) e garantia de estanqueidade e potabilidade.</w:t>
      </w:r>
    </w:p>
    <w:p>
      <w:pPr>
        <w:spacing w:before="80" w:after="40"/>
      </w:pPr>
      <w:r>
        <w:rPr>
          <w:b/>
          <w:color w:val="1F4E78"/>
          <w:sz w:val="19"/>
        </w:rPr>
        <w:t>2. COMPOSIÇÃO ANALÍTICA DA TAXA DE BDI ADOTADA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1728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Item</w:t>
            </w:r>
          </w:p>
        </w:tc>
        <w:tc>
          <w:tcPr>
            <w:tcW w:type="dxa" w:w="331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Discriminativo do Parâmetro</w:t>
            </w:r>
          </w:p>
        </w:tc>
        <w:tc>
          <w:tcPr>
            <w:tcW w:type="dxa" w:w="115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Taxa (%)</w:t>
            </w:r>
          </w:p>
        </w:tc>
        <w:tc>
          <w:tcPr>
            <w:tcW w:type="dxa" w:w="2160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Faixa TCU (Acór. 2622/13)</w:t>
            </w:r>
          </w:p>
        </w:tc>
        <w:tc>
          <w:tcPr>
            <w:tcW w:type="dxa" w:w="187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Enquadramento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A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Administração Central (AC)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3,38%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3,00% - 4,00% - 5,50%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da Média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B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Riscos (R)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0,85%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0,56% - 0,97% - 1,21%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da Média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C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Seguros e Garantias (S)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0,48%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0,80% - 0,80% - 1,00%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do 1º Quartil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D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Despesas Financeiras (DF)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0,85%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0,49% - 0,59% - 1,39%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Dentro da Faixa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E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Lucro / Remuneração (L)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6,00%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6,16% - 7,40% - 8,96%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do 1º Quartil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F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Impostos (I) - ISS 5% + PIS/COFINS/CPRB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10,45%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Variável Municipal/Fed.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Teto Municipal Vitória</w:t>
            </w:r>
          </w:p>
        </w:tc>
      </w:tr>
      <w:tr>
        <w:tc>
          <w:tcPr>
            <w:tcW w:type="dxa" w:w="1728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331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Fórmula TCU: [((1+AC+S+R)*(1+DF)*(1+L))/(1-I)] - 1</w:t>
            </w:r>
          </w:p>
        </w:tc>
        <w:tc>
          <w:tcPr>
            <w:tcW w:type="dxa" w:w="115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9C0006"/>
                <w:sz w:val="16"/>
              </w:rPr>
              <w:t>25,00%</w:t>
            </w:r>
          </w:p>
        </w:tc>
        <w:tc>
          <w:tcPr>
            <w:tcW w:type="dxa" w:w="2160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20,34% - 22,12% - 25,00%</w:t>
            </w:r>
          </w:p>
        </w:tc>
        <w:tc>
          <w:tcPr>
            <w:tcW w:type="dxa" w:w="187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3º Quartil (Limite)</w:t>
            </w:r>
          </w:p>
        </w:tc>
      </w:tr>
    </w:tbl>
    <w:p>
      <w:pPr>
        <w:spacing w:before="80" w:after="40"/>
      </w:pPr>
    </w:p>
    <w:p>
      <w:pPr>
        <w:spacing w:before="80" w:after="40"/>
      </w:pPr>
      <w:r>
        <w:rPr>
          <w:b/>
          <w:color w:val="1F4E78"/>
          <w:sz w:val="19"/>
        </w:rPr>
        <w:t>3. FUNDAMENTAÇÃO TÉCNICA DA ADOÇÃO DO 3º QUARTIL (25,00%)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1 – Alíquota Máxima de ISS no Município de Vitória/ES (5,00%): </w:t>
      </w:r>
      <w:r>
        <w:rPr>
          <w:sz w:val="17"/>
        </w:rPr>
        <w:t>A mediana nacional do TCU considera ISS de 2% a 3%. O Município de Vitória aplica 5,00% (LC 60/2002) para serviços de engenharia, reformas e impermeabilização predial, elevando a carga tributária faturada (I) para 10,45% (ISS 5% + COFINS 3% + PIS 0,65% + CPRB 1,80%). Na fórmula [1/(1-I)], essa tributação local máxima desloca o BDI para 25,00%, mesmo com Lucro (6,00%) e Administração Central (3,38%) fixados abaixo da média e do 1º quartil do TCU.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2 – Complexidade Técnica por Pressão Hidrostática, Sistema Cristalizante e Potabilidade (Portaria MS 888/2021): </w:t>
      </w:r>
      <w:r>
        <w:rPr>
          <w:sz w:val="17"/>
        </w:rPr>
        <w:t>A intervenção no reservatório inferior enterrado envolve atuação sob pressões hidrostáticas positivas e negativas (presença de lençol freático). Exige selamento prévio com cimento de pega ultrarrápida, aplicação de sistema cristalizante osmótico de base mineral em 3 etapas para vedação dos poros capilares do concreto e emissão de laudo de potabilidade conforme normas sanitárias, com teste de estanqueidade obrigatório de 72 horas.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3 – Restrição Operacional em Espaço Confinado (NR-33), Exhaustão Mecânica e Continuidade Operacional da Sede: </w:t>
      </w:r>
      <w:r>
        <w:rPr>
          <w:sz w:val="17"/>
        </w:rPr>
        <w:t>O reservatório localiza-se no subsolo da garagem e classifica-se rigorosamente como Espaço Confinado (NR-33). Requer APR, Permissão de Trabalho (PT), detector multigás, insuflador/exaustor mecânico contínuo para purga de névoa de demolição e resgate com vigia externo dedicado. Ademais, por ser a cisterna responsável pelo abastecimento de água do Edifício Sede MGI/ES, a execução exige rígida coordenação operacional para fornecimento provisório de água e preservação das atividades administrativas.</w:t>
      </w:r>
    </w:p>
    <w:p>
      <w:pPr>
        <w:spacing w:before="80" w:after="40"/>
      </w:pPr>
      <w:r>
        <w:rPr>
          <w:b/>
          <w:color w:val="1F4E78"/>
          <w:sz w:val="19"/>
        </w:rPr>
        <w:t>4. CONCLUSÃO</w:t>
      </w:r>
    </w:p>
    <w:p>
      <w:pPr>
        <w:spacing w:before="0" w:after="120" w:line="252" w:lineRule="auto"/>
        <w:jc w:val="both"/>
      </w:pPr>
      <w:r>
        <w:t>A taxa de BDI de 25,00% é plenamente regular e justificável: encontra-se rigorosamente dentro dos limites legais do Acórdão TCU 2.622/2013, sendo impulsionada pela alíquota tributária de Vitória/ES (ISS 5%) e pelas severas exigências de segurança em espaço confinado (NR-33), estanqueidade sob pressão hidrostática e potabilidade de água do Edifício Sede MGI/ES.</w:t>
      </w:r>
    </w:p>
    <w:p>
      <w:pPr>
        <w:spacing w:before="200" w:after="0"/>
        <w:jc w:val="center"/>
      </w:pPr>
      <w:r>
        <w:rPr>
          <w:sz w:val="16"/>
        </w:rPr>
        <w:t>____________________________________________________</w:t>
        <w:br/>
      </w:r>
      <w:r>
        <w:rPr>
          <w:b/>
          <w:sz w:val="17"/>
        </w:rPr>
        <w:t>Engenheiro Responsável Técnico – Orçamento de Obras</w:t>
        <w:br/>
      </w:r>
      <w:r>
        <w:rPr>
          <w:i/>
          <w:sz w:val="16"/>
        </w:rPr>
        <w:t>Central Orca | MGI/ES</w:t>
      </w:r>
    </w:p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