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MEMORIAL DE JUSTIFICATIVA TÉCNICA E CÁLCULO DO BDI (25,00%)</w:t>
            </w:r>
          </w:p>
          <w:p>
            <w:pPr>
              <w:spacing w:before="40" w:after="0"/>
              <w:jc w:val="center"/>
            </w:pPr>
            <w:r>
              <w:rPr>
                <w:i/>
                <w:color w:val="E0E0E0"/>
                <w:sz w:val="17"/>
              </w:rPr>
              <w:t>Serviço: Manutenção Preventiva e Corretiva do Grupo Gerador e da Subestação Elétrica do Edifício Sede MGI/ES | Vitória/ES | Regime Desonerado</w:t>
            </w:r>
          </w:p>
        </w:tc>
      </w:tr>
    </w:tbl>
    <w:p>
      <w:pPr>
        <w:spacing w:before="80" w:after="40"/>
      </w:pPr>
    </w:p>
    <w:p>
      <w:pPr>
        <w:spacing w:before="80" w:after="40"/>
      </w:pPr>
      <w:r>
        <w:rPr>
          <w:b/>
          <w:color w:val="1F4E78"/>
          <w:sz w:val="19"/>
        </w:rPr>
        <w:t>1. OBJETO E MARCO REFERENCIAL (ACÓRDÃO TCU Nº 2.622/2013 – PLENÁRIO)</w:t>
      </w:r>
    </w:p>
    <w:p>
      <w:pPr>
        <w:spacing w:before="0" w:after="80" w:line="252" w:lineRule="auto"/>
        <w:jc w:val="both"/>
      </w:pPr>
      <w:r>
        <w:t>O presente memorial fundamenta a adoção da taxa de BDI de 25,00% (Desonerado) para os serviços de engenharia eletromecânica de manutenção preventiva e corretiva do Grupo Gerador de Emergência e da Subestação Elétrica (15 kV e Baixa Tensão) do Edifício Sede MGI/ES em Vitória/ES, incluindo fornecimento de insumos/peças genuínas, testes de megagem, análise de óleo/arrefecimento, comutação de carga QGBT/QGBD, ensaios de transformadores a seco e descarte ambiental de resíduos perigosos (MTR). Conforme o Acórdão TCU nº 2.622/2013 (Reforma e Manutenção de Edifícios), a faixa referencial situa-se entre 20,34% (1º Quartil), 22,12% (Médio) e 25,00% (3º Quartil). Demonstra-se a seguir que a opção pelo limite superior (25,00%) decorre estritamente da alíquota tributária municipal local, da alta responsabilidade técnica em infraestrutura crítica de emergência e das exigências de segurança em eletricidade (NR-10).</w:t>
      </w:r>
    </w:p>
    <w:p>
      <w:pPr>
        <w:spacing w:before="80" w:after="40"/>
      </w:pPr>
      <w:r>
        <w:rPr>
          <w:b/>
          <w:color w:val="1F4E78"/>
          <w:sz w:val="19"/>
        </w:rPr>
        <w:t>2. COMPOSIÇÃO ANALÍTICA DA TAXA DE BDI ADOTADA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</w:tblGrid>
      <w:tr>
        <w:tc>
          <w:tcPr>
            <w:tcW w:type="dxa" w:w="1728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Item</w:t>
            </w:r>
          </w:p>
        </w:tc>
        <w:tc>
          <w:tcPr>
            <w:tcW w:type="dxa" w:w="3312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Discriminativo do Parâmetro</w:t>
            </w:r>
          </w:p>
        </w:tc>
        <w:tc>
          <w:tcPr>
            <w:tcW w:type="dxa" w:w="1152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Taxa (%)</w:t>
            </w:r>
          </w:p>
        </w:tc>
        <w:tc>
          <w:tcPr>
            <w:tcW w:type="dxa" w:w="2160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Faixa TCU (Acór. 2622/13)</w:t>
            </w:r>
          </w:p>
        </w:tc>
        <w:tc>
          <w:tcPr>
            <w:tcW w:type="dxa" w:w="1872"/>
            <w:shd w:fill="D9E1F2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1F4E78"/>
                <w:sz w:val="16"/>
              </w:rPr>
              <w:t>Enquadramento</w:t>
            </w:r>
          </w:p>
        </w:tc>
      </w:tr>
      <w:tr>
        <w:tc>
          <w:tcPr>
            <w:tcW w:type="dxa" w:w="172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A</w:t>
            </w:r>
          </w:p>
        </w:tc>
        <w:tc>
          <w:tcPr>
            <w:tcW w:type="dxa" w:w="33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Administração Central (AC)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3,38%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3,00% - 4,00% - 5,50%</w:t>
            </w:r>
          </w:p>
        </w:tc>
        <w:tc>
          <w:tcPr>
            <w:tcW w:type="dxa" w:w="187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da Média</w:t>
            </w:r>
          </w:p>
        </w:tc>
      </w:tr>
      <w:tr>
        <w:tc>
          <w:tcPr>
            <w:tcW w:type="dxa" w:w="1728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B</w:t>
            </w:r>
          </w:p>
        </w:tc>
        <w:tc>
          <w:tcPr>
            <w:tcW w:type="dxa" w:w="331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Riscos (R)</w:t>
            </w:r>
          </w:p>
        </w:tc>
        <w:tc>
          <w:tcPr>
            <w:tcW w:type="dxa" w:w="115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0,85%</w:t>
            </w:r>
          </w:p>
        </w:tc>
        <w:tc>
          <w:tcPr>
            <w:tcW w:type="dxa" w:w="2160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0,56% - 0,97% - 1,21%</w:t>
            </w:r>
          </w:p>
        </w:tc>
        <w:tc>
          <w:tcPr>
            <w:tcW w:type="dxa" w:w="187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da Média</w:t>
            </w:r>
          </w:p>
        </w:tc>
      </w:tr>
      <w:tr>
        <w:tc>
          <w:tcPr>
            <w:tcW w:type="dxa" w:w="172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C</w:t>
            </w:r>
          </w:p>
        </w:tc>
        <w:tc>
          <w:tcPr>
            <w:tcW w:type="dxa" w:w="33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Seguros e Garantias (S)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0,48%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0,80% - 0,80% - 1,00%</w:t>
            </w:r>
          </w:p>
        </w:tc>
        <w:tc>
          <w:tcPr>
            <w:tcW w:type="dxa" w:w="187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do 1º Quartil</w:t>
            </w:r>
          </w:p>
        </w:tc>
      </w:tr>
      <w:tr>
        <w:tc>
          <w:tcPr>
            <w:tcW w:type="dxa" w:w="1728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D</w:t>
            </w:r>
          </w:p>
        </w:tc>
        <w:tc>
          <w:tcPr>
            <w:tcW w:type="dxa" w:w="331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Despesas Financeiras (DF)</w:t>
            </w:r>
          </w:p>
        </w:tc>
        <w:tc>
          <w:tcPr>
            <w:tcW w:type="dxa" w:w="115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0,85%</w:t>
            </w:r>
          </w:p>
        </w:tc>
        <w:tc>
          <w:tcPr>
            <w:tcW w:type="dxa" w:w="2160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0,49% - 0,59% - 1,39%</w:t>
            </w:r>
          </w:p>
        </w:tc>
        <w:tc>
          <w:tcPr>
            <w:tcW w:type="dxa" w:w="187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Dentro da Faixa</w:t>
            </w:r>
          </w:p>
        </w:tc>
      </w:tr>
      <w:tr>
        <w:tc>
          <w:tcPr>
            <w:tcW w:type="dxa" w:w="1728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E</w:t>
            </w:r>
          </w:p>
        </w:tc>
        <w:tc>
          <w:tcPr>
            <w:tcW w:type="dxa" w:w="331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Lucro / Remuneração (L)</w:t>
            </w:r>
          </w:p>
        </w:tc>
        <w:tc>
          <w:tcPr>
            <w:tcW w:type="dxa" w:w="115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6,00%</w:t>
            </w:r>
          </w:p>
        </w:tc>
        <w:tc>
          <w:tcPr>
            <w:tcW w:type="dxa" w:w="2160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6,16% - 7,40% - 8,96%</w:t>
            </w:r>
          </w:p>
        </w:tc>
        <w:tc>
          <w:tcPr>
            <w:tcW w:type="dxa" w:w="1872"/>
            <w:shd w:fill="FFFFFF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Abaixo do 1º Quartil</w:t>
            </w:r>
          </w:p>
        </w:tc>
      </w:tr>
      <w:tr>
        <w:tc>
          <w:tcPr>
            <w:tcW w:type="dxa" w:w="1728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Grupo F</w:t>
            </w:r>
          </w:p>
        </w:tc>
        <w:tc>
          <w:tcPr>
            <w:tcW w:type="dxa" w:w="331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Impostos (I) - ISS 5% + PIS/COFINS/CPRB</w:t>
            </w:r>
          </w:p>
        </w:tc>
        <w:tc>
          <w:tcPr>
            <w:tcW w:type="dxa" w:w="115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10,45%</w:t>
            </w:r>
          </w:p>
        </w:tc>
        <w:tc>
          <w:tcPr>
            <w:tcW w:type="dxa" w:w="2160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sz w:val="16"/>
              </w:rPr>
              <w:t>Variável Municipal/Fed.</w:t>
            </w:r>
          </w:p>
        </w:tc>
        <w:tc>
          <w:tcPr>
            <w:tcW w:type="dxa" w:w="1872"/>
            <w:shd w:fill="F2F2F2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Teto Municipal Vitória</w:t>
            </w:r>
          </w:p>
        </w:tc>
      </w:tr>
      <w:tr>
        <w:tc>
          <w:tcPr>
            <w:tcW w:type="dxa" w:w="1728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3312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sz w:val="16"/>
              </w:rPr>
              <w:t>Fórmula TCU: [((1+AC+S+R)*(1+DF)*(1+L))/(1-I)] - 1</w:t>
            </w:r>
          </w:p>
        </w:tc>
        <w:tc>
          <w:tcPr>
            <w:tcW w:type="dxa" w:w="1152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9C0006"/>
                <w:sz w:val="16"/>
              </w:rPr>
              <w:t>25,00%</w:t>
            </w:r>
          </w:p>
        </w:tc>
        <w:tc>
          <w:tcPr>
            <w:tcW w:type="dxa" w:w="2160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sz w:val="16"/>
              </w:rPr>
              <w:t>20,34% - 22,12% - 25,00%</w:t>
            </w:r>
          </w:p>
        </w:tc>
        <w:tc>
          <w:tcPr>
            <w:tcW w:type="dxa" w:w="1872"/>
            <w:shd w:fill="E9EEF4"/>
            <w:tcMar>
              <w:top w:w="35" w:type="dxa"/>
              <w:bottom w:w="35" w:type="dxa"/>
              <w:left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sz w:val="16"/>
              </w:rPr>
              <w:t>3º Quartil (Limite)</w:t>
            </w:r>
          </w:p>
        </w:tc>
      </w:tr>
    </w:tbl>
    <w:p>
      <w:pPr>
        <w:spacing w:before="80" w:after="40"/>
      </w:pPr>
    </w:p>
    <w:p>
      <w:pPr>
        <w:spacing w:before="80" w:after="40"/>
      </w:pPr>
      <w:r>
        <w:rPr>
          <w:b/>
          <w:color w:val="1F4E78"/>
          <w:sz w:val="19"/>
        </w:rPr>
        <w:t>3. FUNDAMENTAÇÃO TÉCNICA DA ADOÇÃO DO 3º QUARTIL (25,00%)</w:t>
      </w:r>
    </w:p>
    <w:p>
      <w:pPr>
        <w:spacing w:before="40" w:after="60" w:line="252" w:lineRule="auto"/>
        <w:jc w:val="both"/>
      </w:pPr>
      <w:r>
        <w:rPr>
          <w:b/>
          <w:sz w:val="17"/>
        </w:rPr>
        <w:t xml:space="preserve">Fato 1 – Alíquota Máxima de ISS no Município de Vitória/ES (5,00%): </w:t>
      </w:r>
      <w:r>
        <w:rPr>
          <w:sz w:val="17"/>
        </w:rPr>
        <w:t>A mediana nacional do TCU considera ISS de 2% a 3%. O Município de Vitória aplica 5,00% (LC 60/2002) para serviços de engenharia, manutenção e instalações elétricas/mecânicas, elevando a carga tributária faturada (I) para 10,45% (ISS 5% + COFINS 3% + PIS 0,65% + CPRB 1,80%). Na fórmula [1/(1-I)], essa tributação local máxima desloca o BDI para 25,00%, mesmo com Lucro (6,00%) e Administração Central (3,38%) fixados abaixo da média do TCU.</w:t>
      </w:r>
    </w:p>
    <w:p>
      <w:pPr>
        <w:spacing w:before="40" w:after="60" w:line="252" w:lineRule="auto"/>
        <w:jc w:val="both"/>
      </w:pPr>
      <w:r>
        <w:rPr>
          <w:b/>
          <w:sz w:val="17"/>
        </w:rPr>
        <w:t xml:space="preserve">Fato 2 – Responsabilidade Técnica sobre Infraestrutura Crítica e Ensaios de Megagem/Transformadores: </w:t>
      </w:r>
      <w:r>
        <w:rPr>
          <w:sz w:val="17"/>
        </w:rPr>
        <w:t>O escopo envolve o sistema elétrico de emergência do Edifício Sede do MGI/ES, exigindo ensaios de resistência de isolação (Megagem de estator/rotor com cálculo de índices de absorção e polarização), manutenção de chave seccionadora 15 kV e transformadores a seco. Requer engenheiro eletricista habilitado com emissão de ART/CREA-ES, Laudo Técnico circunstanciado e gestão de insumos genuínos de alto custo para evitar colapsos energéticos.</w:t>
      </w:r>
    </w:p>
    <w:p>
      <w:pPr>
        <w:spacing w:before="40" w:after="60" w:line="252" w:lineRule="auto"/>
        <w:jc w:val="both"/>
      </w:pPr>
      <w:r>
        <w:rPr>
          <w:b/>
          <w:sz w:val="17"/>
        </w:rPr>
        <w:t xml:space="preserve">Fato 3 – Riscos Operacionais em Média/Baixa Tensão (NR-10) e Destinação Ambiental Regulamentada (MTR): </w:t>
      </w:r>
      <w:r>
        <w:rPr>
          <w:sz w:val="17"/>
        </w:rPr>
        <w:t>A execução exige rigorosa observância à NR-10 sob risco de arcos elétricos e eletrocussão durante manobras e comutações no QGBT/QGBD. Além disso, há exigência de logística de contenção e transporte regulamentado de resíduos perigosos (óleo lubrificante usado, aditivos químicos e filtros contaminados) com emissão de Manifesto de Transporte de Resíduos (MTR) perante o órgão ambiental.</w:t>
      </w:r>
    </w:p>
    <w:p>
      <w:pPr>
        <w:spacing w:before="80" w:after="40"/>
      </w:pPr>
      <w:r>
        <w:rPr>
          <w:b/>
          <w:color w:val="1F4E78"/>
          <w:sz w:val="19"/>
        </w:rPr>
        <w:t>4. CONCLUSÃO</w:t>
      </w:r>
    </w:p>
    <w:p>
      <w:pPr>
        <w:spacing w:before="0" w:after="120" w:line="252" w:lineRule="auto"/>
        <w:jc w:val="both"/>
      </w:pPr>
      <w:r>
        <w:t>A taxa de BDI de 25,00% é plenamente regular e justificável: encontra-se rigorosamente dentro dos limites legais do Acórdão TCU 2.622/2013, sendo impulsionada pela alíquota tributária de Vitória/ES (ISS 5%) e pelas elevadas exigências de responsabilidade técnica (ART/CREA), segurança em instalações elétricas (NR-10) e controle de resíduos perigosos no Edifício Sede MGI/ES.</w:t>
      </w:r>
    </w:p>
    <w:p>
      <w:pPr>
        <w:spacing w:before="200" w:after="0"/>
        <w:jc w:val="center"/>
      </w:pPr>
      <w:r>
        <w:rPr>
          <w:sz w:val="16"/>
        </w:rPr>
        <w:t>____________________________________________________</w:t>
        <w:br/>
      </w:r>
      <w:r>
        <w:rPr>
          <w:b/>
          <w:sz w:val="17"/>
        </w:rPr>
        <w:t>Engenheiro Responsável Técnico – Orçamento de Obras</w:t>
        <w:br/>
      </w:r>
      <w:r>
        <w:rPr>
          <w:i/>
          <w:sz w:val="16"/>
        </w:rPr>
        <w:t>Central Orca | MGI/ES</w:t>
      </w:r>
    </w:p>
    <w:sectPr w:rsidR="00FC693F" w:rsidRPr="0006063C" w:rsidSect="00034616">
      <w:pgSz w:w="11909" w:h="16834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