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060"/>
                <w:sz w:val="22"/>
              </w:rPr>
              <w:t>MINISTÉRIO DA GESTÃO E DA INOVAÇÃO EM SERVIÇOS PÚBLICOS</w:t>
              <w:br/>
              <w:t>Superintendência de Administração no Espírito Santo – SRA/ES</w:t>
              <w:br/>
              <w:t>Setor de Engenharia / Núcleo de Infraestrutura Predial</w:t>
            </w:r>
          </w:p>
        </w:tc>
      </w:tr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DESPACHO TÉCNICO – SRA/ES</w:t>
              <w:br/>
              <w:t>Processo SEI nº: 10783.000206/2026-71 | Referência: Ata de Reunião SEI nº 63261337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002060"/>
          <w:sz w:val="26"/>
        </w:rPr>
        <w:t>DESPACHO DE ATENDIMENTO DE ENCAMINHAMENTOS DA ATA DE REUNIÃO</w:t>
      </w:r>
    </w:p>
    <w:p>
      <w:r>
        <w:rPr>
          <w:b/>
        </w:rPr>
        <w:t xml:space="preserve">PARA: </w:t>
      </w:r>
      <w:r>
        <w:t>Superintendência de Administração no Espírito Santo (SRA/ES)</w:t>
        <w:br/>
      </w:r>
      <w:r>
        <w:rPr>
          <w:b/>
        </w:rPr>
        <w:t xml:space="preserve">ASSUNTO: </w:t>
      </w:r>
      <w:r>
        <w:t>Atendimento integral aos requisitos orçamentários da Ata de Reunião SEI nº 63261337 – Apresentação de Demonstrativos de BDI, Justificativas Técnicas e Cronogramas Físico-Financeiros (Itens 01 a 11).</w:t>
        <w:br/>
      </w:r>
      <w:r>
        <w:rPr>
          <w:b/>
        </w:rPr>
        <w:t xml:space="preserve">REFERÊNCIA: </w:t>
      </w:r>
      <w:r>
        <w:t>Processo SEI nº 10783.000206/2026-71 | Ata de Reunião CGGIP/DCD SEI nº 63261337</w:t>
      </w:r>
    </w:p>
    <w:p>
      <w:r>
        <w:rPr>
          <w:b/>
          <w:color w:val="002060"/>
        </w:rPr>
        <w:t>1. CONTEXTUALIZAÇÃO E HISTÓRICO</w:t>
      </w:r>
    </w:p>
    <w:p>
      <w:r>
        <w:t>Em cumprimento aos encaminhamentos registrados na Ata de Reunião de Validação do Estudo Técnico Preliminar (ETP) nº SEI 63261337, realizada entre a Coordenação-Geral de Gestão de Imóveis e Projetos (CGGIP/DCD/MGI) e a Superintendência de Administração no Espírito Santo (SRA/ES), o Setor de Engenharia submete o presente Despacho para formalizar o cumprimento integral dos requisitos técnicos e orçamentários exigidos para o prosseguimento da licitação das obras e serviços de engenharia no Edifício Sede do MGI/ES e seus Anexos.</w:t>
      </w:r>
    </w:p>
    <w:p>
      <w:r>
        <w:rPr>
          <w:b/>
          <w:color w:val="002060"/>
        </w:rPr>
        <w:t>2. DEMONSTRATIVO DO CUMPRIMENTO DOS TRÊS REQUISITOS ORÇAMENTÁRIOS</w:t>
      </w:r>
    </w:p>
    <w:p>
      <w:r>
        <w:t>A equipe de engenharia realizou a revisão e consolidação técnica dos autos, sanando rigorosamente os três apontamentos específicos de ordem orçamentária e financeira destacados no item 5 (Encaminhamentos) da supramencionada Ata de Reunião:</w:t>
      </w:r>
    </w:p>
    <w:p>
      <w:pPr>
        <w:pStyle w:val="ListBullet"/>
      </w:pPr>
      <w:r>
        <w:rPr>
          <w:b/>
        </w:rPr>
        <w:t xml:space="preserve">a) Inclusão da Memória de Cálculo e Demonstrativo Analítico do BDI: </w:t>
      </w:r>
      <w:r>
        <w:t>Foi estruturada a memória de cálculo completa e analítica da Bonificação e Despesas Indiretas (BDI) no percentual padrão de 25,00% (regime desonerado) para cada um dos 11 itens da contratação, detalhando a fração exata de Administração Central (3,38%), Riscos (0,85%), Seguros e Garantias (0,48%), Despesas Financeiras (0,85%), Lucro (6,00%) e tributos decorrentes do faturamento (10,45%).</w:t>
      </w:r>
    </w:p>
    <w:p>
      <w:pPr>
        <w:pStyle w:val="ListBullet"/>
      </w:pPr>
      <w:r>
        <w:rPr>
          <w:b/>
        </w:rPr>
        <w:t xml:space="preserve">b) Apresentação da Fundamentação e Justificativa Técnica do BDI: </w:t>
      </w:r>
      <w:r>
        <w:t>Conforme orientação da CGGIP/DCD e diretrizes do Acórdão TCU nº 2.622/2013-Plenário, da Nota Técnica SEI nº 13870/2025/MGI e da Legislação Municipal de Vitória/ES (LC 60/2002), foram elaborados pareceres técnicos circunstanciados justificando o enquadramento da taxa de BDI no 3º Quartil (25,00%), impulsionada pela alíquota teto de ISS local (5,00%) e pela complexidade executiva e normativa (NR-10, NR-18, NR-33, NR-35 e agressividade marinha de Vitória/ES).</w:t>
      </w:r>
    </w:p>
    <w:p>
      <w:pPr>
        <w:pStyle w:val="ListBullet"/>
      </w:pPr>
      <w:r>
        <w:rPr>
          <w:b/>
        </w:rPr>
        <w:t xml:space="preserve">c) Anexação dos Cronogramas Físico-Financeiros: </w:t>
      </w:r>
      <w:r>
        <w:t>Foram anexados os cronogramas físico-financeiros de execução para todos os 11 itens, definindo o avanço temporal das etapas, os desembolsos previstos e os critérios de medição e pagamento compatibilizados com o plano de trabalho da obra.</w:t>
      </w:r>
    </w:p>
    <w:p>
      <w:r>
        <w:rPr>
          <w:b/>
          <w:color w:val="002060"/>
        </w:rPr>
        <w:t>3. CONSOLIDAÇÃO DOS ARTEFATOS E PUBLICAÇÃO NO SEI</w:t>
      </w:r>
    </w:p>
    <w:p>
      <w:r>
        <w:t>Informa-se que a totalidade das 33 peças técnicas orçamentárias (Composição de BDI, Justificativa Técnica e Cronograma Físico-Financeiro) dos 11 itens foi unificada em um único arquivo consolidado de 33 páginas, o qual foi devidamente assinado digitalmente pelo Engenheiro Responsável Técnico e juntado aos autos do Processo SEI nº 10783.000206/2026-71 sob o título:</w:t>
      </w:r>
    </w:p>
    <w:p>
      <w:pPr>
        <w:jc w:val="center"/>
      </w:pPr>
      <w:r>
        <w:rPr>
          <w:b/>
          <w:color w:val="002060"/>
        </w:rPr>
        <w:t>Documento SEI: BDI_Justificativa_Cronograma_Item01_ao_11_assinado.pdf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Frente de Serviço / Objeto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Páginas SEI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Status de Atendimento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01</w:t>
            </w:r>
          </w:p>
        </w:tc>
        <w:tc>
          <w:tcPr>
            <w:tcW w:type="dxa" w:w="2340"/>
          </w:tcPr>
          <w:p>
            <w:r>
              <w:t>Substituição das Chapas de Inox dos Elevadores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1 a 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02</w:t>
            </w:r>
          </w:p>
        </w:tc>
        <w:tc>
          <w:tcPr>
            <w:tcW w:type="dxa" w:w="2340"/>
          </w:tcPr>
          <w:p>
            <w:r>
              <w:t>Limpeza Robotizada dos Dutos de Ar Condicionado (HVAC)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4 a 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03</w:t>
            </w:r>
          </w:p>
        </w:tc>
        <w:tc>
          <w:tcPr>
            <w:tcW w:type="dxa" w:w="2340"/>
          </w:tcPr>
          <w:p>
            <w:r>
              <w:t>Lavagem da Fachada Envidraçada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7 a 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04</w:t>
            </w:r>
          </w:p>
        </w:tc>
        <w:tc>
          <w:tcPr>
            <w:tcW w:type="dxa" w:w="2340"/>
          </w:tcPr>
          <w:p>
            <w:r>
              <w:t>Tratamento e Recuperação de Juntas de Dilatação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10 a 12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05</w:t>
            </w:r>
          </w:p>
        </w:tc>
        <w:tc>
          <w:tcPr>
            <w:tcW w:type="dxa" w:w="2340"/>
          </w:tcPr>
          <w:p>
            <w:r>
              <w:t>Pintura Anticorrosiva das Grades no Entorno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13 a 15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06</w:t>
            </w:r>
          </w:p>
        </w:tc>
        <w:tc>
          <w:tcPr>
            <w:tcW w:type="dxa" w:w="2340"/>
          </w:tcPr>
          <w:p>
            <w:r>
              <w:t>Substituição de Películas de Controle Solar (Insulfilm)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16 a 18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07</w:t>
            </w:r>
          </w:p>
        </w:tc>
        <w:tc>
          <w:tcPr>
            <w:tcW w:type="dxa" w:w="2340"/>
          </w:tcPr>
          <w:p>
            <w:r>
              <w:t>Pintura Externa do Edifício Sede MGI/ES e Anexos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19 a 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08</w:t>
            </w:r>
          </w:p>
        </w:tc>
        <w:tc>
          <w:tcPr>
            <w:tcW w:type="dxa" w:w="2340"/>
          </w:tcPr>
          <w:p>
            <w:r>
              <w:t>Impermeabilização da Cisterna no Subsolo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22 a 24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09</w:t>
            </w:r>
          </w:p>
        </w:tc>
        <w:tc>
          <w:tcPr>
            <w:tcW w:type="dxa" w:w="2340"/>
          </w:tcPr>
          <w:p>
            <w:r>
              <w:t>Limpeza e Manutenção de Usinas Fotovoltaicas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25 a 27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10</w:t>
            </w:r>
          </w:p>
        </w:tc>
        <w:tc>
          <w:tcPr>
            <w:tcW w:type="dxa" w:w="2340"/>
          </w:tcPr>
          <w:p>
            <w:r>
              <w:t>Manutenção do Grupo Gerador e Subestação Elétrica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28 a 30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Item 11</w:t>
            </w:r>
          </w:p>
        </w:tc>
        <w:tc>
          <w:tcPr>
            <w:tcW w:type="dxa" w:w="2340"/>
          </w:tcPr>
          <w:p>
            <w:r>
              <w:t>Reforma e Impermeabilização da Marquise do Anexo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Págs. 31 a 33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Cumprido e Assinado</w:t>
            </w:r>
          </w:p>
        </w:tc>
      </w:tr>
    </w:tbl>
    <w:p>
      <w:r>
        <w:rPr>
          <w:b/>
          <w:color w:val="002060"/>
        </w:rPr>
        <w:br/>
        <w:t>4. CONCLUSÃO E ENCAMINHAMENTO</w:t>
      </w:r>
    </w:p>
    <w:p>
      <w:r>
        <w:t>Diante do exposto, atesta-se o atendimento cabal aos três encaminhamentos orçamentários da Ata de Reunião SEI nº 63261337. Os autos encontram-se devidamente instruídos sob a perspectiva econômico-financeira e de planejamento. Submetem-se o presente processo e a documentação à apreciação da Superintendência (SRA/ES) para prosseguimento do feito e instrução das fases subsequentes da contratação.</w:t>
      </w:r>
    </w:p>
    <w:p>
      <w:pPr>
        <w:jc w:val="center"/>
      </w:pPr>
      <w:r>
        <w:rPr>
          <w:b w:val="0"/>
        </w:rPr>
        <w:br/>
        <w:t>____________________________________________________</w:t>
        <w:br/>
      </w:r>
      <w:r>
        <w:rPr>
          <w:b/>
        </w:rPr>
        <w:t>Luis Fernando Dias</w:t>
        <w:br/>
      </w:r>
      <w:r>
        <w:rPr>
          <w:i/>
        </w:rPr>
        <w:t>Engenheiro Civil – CREA/ES</w:t>
        <w:br/>
        <w:t>Setor de Engenharia — SRA/ES / MGI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