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6427" w14:textId="77777777" w:rsidR="00E566AA" w:rsidRPr="00B4731D" w:rsidRDefault="00000000">
      <w:pPr>
        <w:jc w:val="center"/>
        <w:rPr>
          <w:lang w:val="pt-BR"/>
        </w:rPr>
      </w:pPr>
      <w:r w:rsidRPr="00B4731D">
        <w:rPr>
          <w:b/>
          <w:sz w:val="24"/>
          <w:lang w:val="pt-BR"/>
        </w:rPr>
        <w:t>MINISTÉRIO DA GESTÃO E DA INOVAÇÃO EM SERVIÇOS PÚBLICOS - MGI</w:t>
      </w:r>
      <w:r w:rsidRPr="00B4731D">
        <w:rPr>
          <w:b/>
          <w:sz w:val="24"/>
          <w:lang w:val="pt-BR"/>
        </w:rPr>
        <w:br/>
      </w:r>
      <w:r w:rsidRPr="00B4731D">
        <w:rPr>
          <w:b/>
          <w:lang w:val="pt-BR"/>
        </w:rPr>
        <w:t>SUPERINTENDÊNCIA REGIONAL DE ADMINISTRAÇÃO NO ESPÍRITO SANTO - SRA/MGI-ES</w:t>
      </w:r>
      <w:r w:rsidRPr="00B4731D">
        <w:rPr>
          <w:b/>
          <w:lang w:val="pt-BR"/>
        </w:rPr>
        <w:br/>
      </w:r>
      <w:r w:rsidRPr="00B4731D">
        <w:rPr>
          <w:color w:val="555555"/>
          <w:sz w:val="20"/>
          <w:lang w:val="pt-BR"/>
        </w:rPr>
        <w:t>SETOR DE ENGENHARIA E INFRAESTRUTURA - PROJETO ORCA AI</w:t>
      </w:r>
      <w:r w:rsidRPr="00B4731D">
        <w:rPr>
          <w:color w:val="555555"/>
          <w:sz w:val="20"/>
          <w:lang w:val="pt-BR"/>
        </w:rPr>
        <w:br/>
      </w:r>
    </w:p>
    <w:p w14:paraId="099E196B" w14:textId="77777777" w:rsidR="00E566AA" w:rsidRPr="00B4731D" w:rsidRDefault="00000000">
      <w:pPr>
        <w:spacing w:before="240" w:after="240"/>
        <w:jc w:val="center"/>
        <w:rPr>
          <w:lang w:val="pt-BR"/>
        </w:rPr>
      </w:pPr>
      <w:r w:rsidRPr="00B4731D">
        <w:rPr>
          <w:b/>
          <w:color w:val="003366"/>
          <w:sz w:val="28"/>
          <w:lang w:val="pt-BR"/>
        </w:rPr>
        <w:t>DESPACHO TÉCNICO DE ENGENHARIA Nº 01/2026/ENG-SRA-ES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E566AA" w14:paraId="5CD00E27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1CAE8" w14:textId="77777777" w:rsidR="00E566AA" w:rsidRDefault="00000000">
            <w:pPr>
              <w:spacing w:after="40"/>
            </w:pPr>
            <w:r>
              <w:rPr>
                <w:b/>
                <w:sz w:val="19"/>
              </w:rPr>
              <w:t>PROCESSO NUP:</w:t>
            </w:r>
          </w:p>
        </w:tc>
        <w:tc>
          <w:tcPr>
            <w:tcW w:w="69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E021" w14:textId="77777777" w:rsidR="00E566AA" w:rsidRDefault="00000000">
            <w:pPr>
              <w:spacing w:after="40"/>
            </w:pPr>
            <w:r>
              <w:rPr>
                <w:sz w:val="19"/>
              </w:rPr>
              <w:t>10783.000206/2026-71</w:t>
            </w:r>
          </w:p>
        </w:tc>
      </w:tr>
      <w:tr w:rsidR="00E566AA" w:rsidRPr="00B4731D" w14:paraId="3E2BA672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E8E7" w14:textId="77777777" w:rsidR="00E566AA" w:rsidRDefault="00000000">
            <w:pPr>
              <w:spacing w:after="40"/>
            </w:pPr>
            <w:r>
              <w:rPr>
                <w:b/>
                <w:sz w:val="19"/>
              </w:rPr>
              <w:t>REFERÊNCIA:</w:t>
            </w:r>
          </w:p>
        </w:tc>
        <w:tc>
          <w:tcPr>
            <w:tcW w:w="69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2ADA0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9"/>
                <w:lang w:val="pt-BR"/>
              </w:rPr>
              <w:t>Parecer Jurídico nº 01199/2026/CJENG-EST-SUMARIO/SCGP/CGU/AGU</w:t>
            </w:r>
          </w:p>
        </w:tc>
      </w:tr>
      <w:tr w:rsidR="00E566AA" w:rsidRPr="00B4731D" w14:paraId="30CE52C9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D3CA8" w14:textId="77777777" w:rsidR="00E566AA" w:rsidRDefault="00000000">
            <w:pPr>
              <w:spacing w:after="40"/>
            </w:pPr>
            <w:r>
              <w:rPr>
                <w:b/>
                <w:sz w:val="19"/>
              </w:rPr>
              <w:t>ASSUNTO:</w:t>
            </w:r>
          </w:p>
        </w:tc>
        <w:tc>
          <w:tcPr>
            <w:tcW w:w="69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CB952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9"/>
                <w:lang w:val="pt-BR"/>
              </w:rPr>
              <w:t>Atendimento Integral e Saneamento das Recomendações Técnicas de Engenharia</w:t>
            </w:r>
          </w:p>
        </w:tc>
      </w:tr>
      <w:tr w:rsidR="00E566AA" w:rsidRPr="00B4731D" w14:paraId="16E54F02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B43F" w14:textId="77777777" w:rsidR="00E566AA" w:rsidRDefault="00000000">
            <w:pPr>
              <w:spacing w:after="40"/>
            </w:pPr>
            <w:r>
              <w:rPr>
                <w:b/>
                <w:sz w:val="19"/>
              </w:rPr>
              <w:t>OBJETO:</w:t>
            </w:r>
          </w:p>
        </w:tc>
        <w:tc>
          <w:tcPr>
            <w:tcW w:w="69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1BCD0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9"/>
                <w:lang w:val="pt-BR"/>
              </w:rPr>
              <w:t>Serviços de engenharia e manutenção predial divididos em 11 Itens (Edifício Sede e Anexos)</w:t>
            </w:r>
          </w:p>
        </w:tc>
      </w:tr>
      <w:tr w:rsidR="00E566AA" w:rsidRPr="00B4731D" w14:paraId="729B4432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4B23A" w14:textId="77777777" w:rsidR="00E566AA" w:rsidRDefault="00000000">
            <w:pPr>
              <w:spacing w:after="40"/>
            </w:pPr>
            <w:r>
              <w:rPr>
                <w:b/>
                <w:sz w:val="19"/>
              </w:rPr>
              <w:t>DESTINATÁRIO:</w:t>
            </w:r>
          </w:p>
        </w:tc>
        <w:tc>
          <w:tcPr>
            <w:tcW w:w="69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453F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9"/>
                <w:lang w:val="pt-BR"/>
              </w:rPr>
              <w:t>SUPERINTENDÊNCIA REGIONAL DE ADMINISTRAÇÃO NO ESPÍRITO SANTO (SRA/MGI-ES)</w:t>
            </w:r>
          </w:p>
        </w:tc>
      </w:tr>
    </w:tbl>
    <w:p w14:paraId="499428DA" w14:textId="77777777" w:rsidR="00E566AA" w:rsidRPr="00B4731D" w:rsidRDefault="00000000">
      <w:pPr>
        <w:spacing w:before="320" w:after="160"/>
        <w:rPr>
          <w:lang w:val="pt-BR"/>
        </w:rPr>
      </w:pPr>
      <w:r w:rsidRPr="00B4731D">
        <w:rPr>
          <w:b/>
          <w:lang w:val="pt-BR"/>
        </w:rPr>
        <w:t>Senhor(a) Superintendente Regional de Administração,</w:t>
      </w:r>
    </w:p>
    <w:p w14:paraId="53F0023E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1. Submeto a Vossa Senhoria o presente DESPACHO TÉCNICO DE ENGENHARIA, elaborado no âmbito do Projeto Orca AI, com a finalidade de prestar as informações técnicas, fundamentações normativas e comprovações documentais necessárias ao integral saneamento e atendimento às recomendações constantes do Parecer Jurídico nº 01199/2026/CJENG-EST-SUMARIO/SCGP/CGU/AGU, exarado pelo ilustre Advogado da União Dr. Jaildo Peixoto da Silva.</w:t>
      </w:r>
    </w:p>
    <w:p w14:paraId="3992F691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2. A douta Consultoria Jurídica da União concluiu pela viabilidade jurídica do prosseguimento do certame licitatório, condicionando-o ao acolhimento das recomendações afetas ao planejamento da contratação e à orçamentação das obras e serviços.</w:t>
      </w:r>
    </w:p>
    <w:p w14:paraId="5609DDAF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3. Passa-se, a seguir, à demonstração pormenorizada de cada providência técnica adotada pelo Setor de Engenharia, consolidando o atendimento cabal aos apontamentos jurídicos, em estrita consonância com a Lei nº 14.133/2021, as Súmulas e Acórdãos do Tribunal de Contas da União (TCU) e os normativos do Governo Federal.</w:t>
      </w:r>
    </w:p>
    <w:p w14:paraId="538A6794" w14:textId="77777777" w:rsidR="00E566AA" w:rsidRPr="00B4731D" w:rsidRDefault="00000000">
      <w:pPr>
        <w:spacing w:before="280"/>
        <w:rPr>
          <w:lang w:val="pt-BR"/>
        </w:rPr>
      </w:pPr>
      <w:r w:rsidRPr="00B4731D">
        <w:rPr>
          <w:b/>
          <w:color w:val="003366"/>
          <w:sz w:val="25"/>
          <w:lang w:val="pt-BR"/>
        </w:rPr>
        <w:t>I. QUADRO SINÓTICO DE ATENDIMENTO ÀS RECOMENDAÇÕES DA AGU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2592"/>
        <w:gridCol w:w="1440"/>
        <w:gridCol w:w="4176"/>
      </w:tblGrid>
      <w:tr w:rsidR="00E566AA" w14:paraId="0A6F1FFB" w14:textId="77777777">
        <w:trPr>
          <w:jc w:val="center"/>
        </w:trPr>
        <w:tc>
          <w:tcPr>
            <w:tcW w:w="1296" w:type="dxa"/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46CE8" w14:textId="77777777" w:rsidR="00E566AA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Item AGU</w:t>
            </w:r>
          </w:p>
        </w:tc>
        <w:tc>
          <w:tcPr>
            <w:tcW w:w="2592" w:type="dxa"/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2FFCF" w14:textId="77777777" w:rsidR="00E566AA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Assunto / Recomendação</w:t>
            </w:r>
          </w:p>
        </w:tc>
        <w:tc>
          <w:tcPr>
            <w:tcW w:w="1440" w:type="dxa"/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C8809" w14:textId="77777777" w:rsidR="00E566AA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Situação</w:t>
            </w:r>
          </w:p>
        </w:tc>
        <w:tc>
          <w:tcPr>
            <w:tcW w:w="4176" w:type="dxa"/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B80F6" w14:textId="77777777" w:rsidR="00E566AA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Providência Técnica Adotada</w:t>
            </w:r>
          </w:p>
        </w:tc>
      </w:tr>
      <w:tr w:rsidR="00E566AA" w:rsidRPr="00B4731D" w14:paraId="020DF827" w14:textId="77777777">
        <w:trPr>
          <w:jc w:val="center"/>
        </w:trPr>
        <w:tc>
          <w:tcPr>
            <w:tcW w:w="1296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2AA604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§ 24</w:t>
            </w:r>
          </w:p>
        </w:tc>
        <w:tc>
          <w:tcPr>
            <w:tcW w:w="259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2FCC61" w14:textId="77777777" w:rsidR="00E566AA" w:rsidRDefault="00000000">
            <w:pPr>
              <w:spacing w:after="40"/>
            </w:pPr>
            <w:r>
              <w:rPr>
                <w:sz w:val="17"/>
              </w:rPr>
              <w:t>Adoção do IPPC Engenharia</w:t>
            </w:r>
          </w:p>
        </w:tc>
        <w:tc>
          <w:tcPr>
            <w:tcW w:w="1440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C098C6" w14:textId="77777777" w:rsidR="00E566AA" w:rsidRDefault="00000000"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w="4176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B1E794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Atestada a estrita observância ao IPPC Engenharia da CGU/AGU em todos os procedimentos.</w:t>
            </w:r>
          </w:p>
        </w:tc>
      </w:tr>
      <w:tr w:rsidR="00E566AA" w:rsidRPr="00B4731D" w14:paraId="6EC9B602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F5AC68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§ 34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E4137C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Assinatura nos documentos de planejamento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CC56A2" w14:textId="77777777" w:rsidR="00E566AA" w:rsidRDefault="00000000"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w="417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2475D9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Peças técnicas assinadas digitalmente via SEI pela Equipe de Planejamento.</w:t>
            </w:r>
          </w:p>
        </w:tc>
      </w:tr>
      <w:tr w:rsidR="00E566AA" w:rsidRPr="00B4731D" w14:paraId="1F394690" w14:textId="77777777">
        <w:trPr>
          <w:jc w:val="center"/>
        </w:trPr>
        <w:tc>
          <w:tcPr>
            <w:tcW w:w="1296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586310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§ 39</w:t>
            </w:r>
          </w:p>
        </w:tc>
        <w:tc>
          <w:tcPr>
            <w:tcW w:w="259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DD3741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Projeto Básico vs. TR e Acervo de Projetos</w:t>
            </w:r>
          </w:p>
        </w:tc>
        <w:tc>
          <w:tcPr>
            <w:tcW w:w="1440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9D754D" w14:textId="77777777" w:rsidR="00E566AA" w:rsidRDefault="00000000"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w="4176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AA101F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Demonstrado o acervo arquitetônico existente (Sede, Anexos, Marquise, Elevadores, Vila Rubim, Calçada Cidadã) e aplicação do art. 46, § 3º da Lei 14.133/21.</w:t>
            </w:r>
          </w:p>
        </w:tc>
      </w:tr>
      <w:tr w:rsidR="00E566AA" w:rsidRPr="00B4731D" w14:paraId="69E9E6A1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54B8DC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lastRenderedPageBreak/>
              <w:t>§ 44-45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44B2C1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Obrigações e custos de Projeto Executivo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8A6012" w14:textId="77777777" w:rsidR="00E566AA" w:rsidRDefault="00000000"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w="417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9450BB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Custos declarados e absorvidos na Adm. Local/BDI e minuta de cláusula repassada à Licitação.</w:t>
            </w:r>
          </w:p>
        </w:tc>
      </w:tr>
      <w:tr w:rsidR="00E566AA" w:rsidRPr="00B4731D" w14:paraId="74DC74B9" w14:textId="77777777">
        <w:trPr>
          <w:jc w:val="center"/>
        </w:trPr>
        <w:tc>
          <w:tcPr>
            <w:tcW w:w="1296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41A061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§ 48</w:t>
            </w:r>
          </w:p>
        </w:tc>
        <w:tc>
          <w:tcPr>
            <w:tcW w:w="259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B286AC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Declaração de atividades acessórias (Dec. 9.507/18)</w:t>
            </w:r>
          </w:p>
        </w:tc>
        <w:tc>
          <w:tcPr>
            <w:tcW w:w="1440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E561BC" w14:textId="77777777" w:rsidR="00E566AA" w:rsidRDefault="00000000"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w="4176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E31653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Declaração formal anexada aos autos confirmando a natureza acessória predial.</w:t>
            </w:r>
          </w:p>
        </w:tc>
      </w:tr>
      <w:tr w:rsidR="00E566AA" w:rsidRPr="00B4731D" w14:paraId="15550967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76CB47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§ 57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613631" w14:textId="77777777" w:rsidR="00E566AA" w:rsidRDefault="00000000">
            <w:pPr>
              <w:spacing w:after="40"/>
            </w:pPr>
            <w:r>
              <w:rPr>
                <w:sz w:val="17"/>
              </w:rPr>
              <w:t>Planilhas Orçamentárias Analíticas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68AFA4" w14:textId="77777777" w:rsidR="00E566AA" w:rsidRDefault="00000000"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w="417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272F79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Relatórios analíticos de composições unitárias emitidos via Orçafascio e juntados ao SEI.</w:t>
            </w:r>
          </w:p>
        </w:tc>
      </w:tr>
      <w:tr w:rsidR="00E566AA" w:rsidRPr="00B4731D" w14:paraId="0024107F" w14:textId="77777777">
        <w:trPr>
          <w:jc w:val="center"/>
        </w:trPr>
        <w:tc>
          <w:tcPr>
            <w:tcW w:w="1296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568317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§ 58</w:t>
            </w:r>
          </w:p>
        </w:tc>
        <w:tc>
          <w:tcPr>
            <w:tcW w:w="259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EFFEEB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Hierarquia de preços (SINAPI / cotações)</w:t>
            </w:r>
          </w:p>
        </w:tc>
        <w:tc>
          <w:tcPr>
            <w:tcW w:w="1440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135710" w14:textId="77777777" w:rsidR="00E566AA" w:rsidRDefault="00000000"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w="4176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FFC48C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Justificada a precedência SINAPI Vitória/ES (&gt;85%) e IN SEGES nº 65/2021 para itens especializados.</w:t>
            </w:r>
          </w:p>
        </w:tc>
      </w:tr>
      <w:tr w:rsidR="00E566AA" w:rsidRPr="00B4731D" w14:paraId="5EE3B683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997F41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§ 63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B38D0C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Critérios de aceitabilidade de preços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36E28E" w14:textId="77777777" w:rsidR="00E566AA" w:rsidRDefault="00000000"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w="417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9E605E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Ratificados os limites unitários e globais com base nas Súmulas TCU nº 258 e 259.</w:t>
            </w:r>
          </w:p>
        </w:tc>
      </w:tr>
      <w:tr w:rsidR="00E566AA" w:rsidRPr="00B4731D" w14:paraId="76267209" w14:textId="77777777">
        <w:trPr>
          <w:jc w:val="center"/>
        </w:trPr>
        <w:tc>
          <w:tcPr>
            <w:tcW w:w="1296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DD9A8D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§ 67</w:t>
            </w:r>
          </w:p>
        </w:tc>
        <w:tc>
          <w:tcPr>
            <w:tcW w:w="259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7F00B2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Justificativa de BDI pleno (Súmula 253 TCU)</w:t>
            </w:r>
          </w:p>
        </w:tc>
        <w:tc>
          <w:tcPr>
            <w:tcW w:w="1440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4A6E9B" w14:textId="77777777" w:rsidR="00E566AA" w:rsidRDefault="00000000"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w="4176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81DDCB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Justificada a indivisibilidade de fornecimento e instalação (Acórdão TCU nº 2.622/13).</w:t>
            </w:r>
          </w:p>
        </w:tc>
      </w:tr>
      <w:tr w:rsidR="00E566AA" w:rsidRPr="00B4731D" w14:paraId="52D2DAB8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F1B370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§ 72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7DA661" w14:textId="77777777" w:rsidR="00E566AA" w:rsidRDefault="00000000">
            <w:pPr>
              <w:spacing w:after="40"/>
            </w:pPr>
            <w:r>
              <w:rPr>
                <w:sz w:val="17"/>
              </w:rPr>
              <w:t>Vantajosidade da Desoneração (CPRB)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64B725" w14:textId="77777777" w:rsidR="00E566AA" w:rsidRDefault="00000000"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w="417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D2F376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Demonstrada a vantajosidade em serviços intensivos em mão de obra (Lei 14.973/24).</w:t>
            </w:r>
          </w:p>
        </w:tc>
      </w:tr>
      <w:tr w:rsidR="00E566AA" w:rsidRPr="00B4731D" w14:paraId="0FCD96D2" w14:textId="77777777">
        <w:trPr>
          <w:jc w:val="center"/>
        </w:trPr>
        <w:tc>
          <w:tcPr>
            <w:tcW w:w="1296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1DB169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§ 73</w:t>
            </w:r>
          </w:p>
        </w:tc>
        <w:tc>
          <w:tcPr>
            <w:tcW w:w="259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2C10EA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Curva ABC de Serviços e Insumos</w:t>
            </w:r>
          </w:p>
        </w:tc>
        <w:tc>
          <w:tcPr>
            <w:tcW w:w="1440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91BFF1" w14:textId="77777777" w:rsidR="00E566AA" w:rsidRDefault="00000000"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w="4176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7D5FB6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Curva ABC expressa na coluna 'Peso %' do Orçafascio e relatório consolidado juntado.</w:t>
            </w:r>
          </w:p>
        </w:tc>
      </w:tr>
      <w:tr w:rsidR="00E566AA" w:rsidRPr="00B4731D" w14:paraId="293766FB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1FB7A0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§ 74-76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D45DF4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Cronograma físico-financeiro por demanda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25118B" w14:textId="77777777" w:rsidR="00E566AA" w:rsidRDefault="00000000"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w="417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1EA1F0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Cronogramas estruturados com prazos individualizados por Ordem de Serviço (OS).</w:t>
            </w:r>
          </w:p>
        </w:tc>
      </w:tr>
      <w:tr w:rsidR="00E566AA" w:rsidRPr="00B4731D" w14:paraId="1285A39D" w14:textId="77777777">
        <w:trPr>
          <w:jc w:val="center"/>
        </w:trPr>
        <w:tc>
          <w:tcPr>
            <w:tcW w:w="1296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768027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§ 79</w:t>
            </w:r>
          </w:p>
        </w:tc>
        <w:tc>
          <w:tcPr>
            <w:tcW w:w="259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1F3142" w14:textId="77777777" w:rsidR="00E566AA" w:rsidRDefault="00000000">
            <w:pPr>
              <w:spacing w:after="40"/>
            </w:pPr>
            <w:r>
              <w:rPr>
                <w:sz w:val="17"/>
              </w:rPr>
              <w:t>Regularização das ARTs / RRTs</w:t>
            </w:r>
          </w:p>
        </w:tc>
        <w:tc>
          <w:tcPr>
            <w:tcW w:w="1440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B189B2" w14:textId="77777777" w:rsidR="00E566AA" w:rsidRDefault="00000000"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w="4176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FC278B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ART definitiva registrada e quitada no CREA-ES anexada ao processo SEI.</w:t>
            </w:r>
          </w:p>
        </w:tc>
      </w:tr>
      <w:tr w:rsidR="00E566AA" w:rsidRPr="00B4731D" w14:paraId="16EBEDB5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E286A4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§ 92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541BCB" w14:textId="77777777" w:rsidR="00E566AA" w:rsidRDefault="00000000">
            <w:pPr>
              <w:spacing w:after="40"/>
            </w:pPr>
            <w:r>
              <w:rPr>
                <w:sz w:val="17"/>
              </w:rPr>
              <w:t>Empreitada por Preço Global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BB08E6" w14:textId="77777777" w:rsidR="00E566AA" w:rsidRDefault="00000000"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w="417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512456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Justificativa fundamentada na precisão métrica do acervo arquitetônico e planilhas.</w:t>
            </w:r>
          </w:p>
        </w:tc>
      </w:tr>
      <w:tr w:rsidR="00E566AA" w:rsidRPr="00B4731D" w14:paraId="43B69F13" w14:textId="77777777">
        <w:trPr>
          <w:jc w:val="center"/>
        </w:trPr>
        <w:tc>
          <w:tcPr>
            <w:tcW w:w="1296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0AF2F8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§ 97-98</w:t>
            </w:r>
          </w:p>
        </w:tc>
        <w:tc>
          <w:tcPr>
            <w:tcW w:w="259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181977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Matriz de Riscos (Acórdão 1.977/13 TCU)</w:t>
            </w:r>
          </w:p>
        </w:tc>
        <w:tc>
          <w:tcPr>
            <w:tcW w:w="1440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95D05C" w14:textId="77777777" w:rsidR="00E566AA" w:rsidRDefault="00000000"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w="4176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672300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Matriz de riscos com limite de tolerância de 10% (Dec. 7.983/13) formalizada.</w:t>
            </w:r>
          </w:p>
        </w:tc>
      </w:tr>
      <w:tr w:rsidR="00E566AA" w:rsidRPr="00B4731D" w14:paraId="64C59845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018134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§ 103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C697E8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Sistema de Registro de Preços (SRP)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BE8E54" w14:textId="77777777" w:rsidR="00E566AA" w:rsidRDefault="00000000"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w="417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66E755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Justificada a conveniência para atendimento preventivo e corretivo sob demanda.</w:t>
            </w:r>
          </w:p>
        </w:tc>
      </w:tr>
      <w:tr w:rsidR="00E566AA" w:rsidRPr="00B4731D" w14:paraId="36C4D730" w14:textId="77777777">
        <w:trPr>
          <w:jc w:val="center"/>
        </w:trPr>
        <w:tc>
          <w:tcPr>
            <w:tcW w:w="1296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6F7A98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§ 110</w:t>
            </w:r>
          </w:p>
        </w:tc>
        <w:tc>
          <w:tcPr>
            <w:tcW w:w="2592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BEBF6E" w14:textId="77777777" w:rsidR="00E566AA" w:rsidRDefault="00000000">
            <w:pPr>
              <w:spacing w:after="40"/>
            </w:pPr>
            <w:r>
              <w:rPr>
                <w:sz w:val="17"/>
              </w:rPr>
              <w:t>Harmonização da Vistoria Técnica</w:t>
            </w:r>
          </w:p>
        </w:tc>
        <w:tc>
          <w:tcPr>
            <w:tcW w:w="1440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C2D13B" w14:textId="77777777" w:rsidR="00E566AA" w:rsidRDefault="00000000">
            <w:pPr>
              <w:spacing w:after="40"/>
            </w:pPr>
            <w:r>
              <w:rPr>
                <w:b/>
                <w:color w:val="006622"/>
                <w:sz w:val="17"/>
              </w:rPr>
              <w:t>ATENDIDO</w:t>
            </w:r>
          </w:p>
        </w:tc>
        <w:tc>
          <w:tcPr>
            <w:tcW w:w="4176" w:type="dxa"/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E177FB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Vistoria facultativa com exigência de Declaração de Pleno Conhecimento.</w:t>
            </w:r>
          </w:p>
        </w:tc>
      </w:tr>
      <w:tr w:rsidR="00E566AA" w:rsidRPr="00B4731D" w14:paraId="5707A586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8021C8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§ 120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9CCB3A" w14:textId="77777777" w:rsidR="00E566AA" w:rsidRDefault="00000000">
            <w:pPr>
              <w:spacing w:after="40"/>
            </w:pPr>
            <w:r>
              <w:rPr>
                <w:sz w:val="17"/>
              </w:rPr>
              <w:t>Previsão orçamentária e LRF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2D342E" w14:textId="77777777" w:rsidR="00E566AA" w:rsidRDefault="00000000">
            <w:pPr>
              <w:spacing w:after="40"/>
            </w:pPr>
            <w:r>
              <w:rPr>
                <w:b/>
                <w:color w:val="006622"/>
                <w:sz w:val="17"/>
              </w:rPr>
              <w:t>ENCAMINHADO</w:t>
            </w:r>
          </w:p>
        </w:tc>
        <w:tc>
          <w:tcPr>
            <w:tcW w:w="417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37A6D3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Atesto orçamentário encaminhado para certificação contábil.</w:t>
            </w:r>
          </w:p>
        </w:tc>
      </w:tr>
    </w:tbl>
    <w:p w14:paraId="5B65DA59" w14:textId="77777777" w:rsidR="00E566AA" w:rsidRPr="00B4731D" w:rsidRDefault="00000000">
      <w:pPr>
        <w:spacing w:before="280"/>
        <w:rPr>
          <w:lang w:val="pt-BR"/>
        </w:rPr>
      </w:pPr>
      <w:r w:rsidRPr="00B4731D">
        <w:rPr>
          <w:b/>
          <w:color w:val="003366"/>
          <w:sz w:val="25"/>
          <w:lang w:val="pt-BR"/>
        </w:rPr>
        <w:t>II. MANIFESTAÇÃO E SANEAMENTO PORMENORIZADO</w:t>
      </w:r>
    </w:p>
    <w:p w14:paraId="6D766BE9" w14:textId="77777777" w:rsidR="00E566AA" w:rsidRPr="00B4731D" w:rsidRDefault="00000000">
      <w:pPr>
        <w:spacing w:before="200" w:after="80"/>
        <w:rPr>
          <w:lang w:val="pt-BR"/>
        </w:rPr>
      </w:pPr>
      <w:r w:rsidRPr="00B4731D">
        <w:rPr>
          <w:b/>
          <w:color w:val="224466"/>
          <w:lang w:val="pt-BR"/>
        </w:rPr>
        <w:t>1. Quanto ao Instrumento de Padronização - IPPC Engenharia (§ 24)</w:t>
      </w:r>
    </w:p>
    <w:p w14:paraId="7316B2D7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4. Atesta-se que a presente instrução processual observou integralmente as diretrizes, fluxos e modelos padronizados constantes do Instrumento de Padronização dos Procedimentos de Contratação de Obras e Serviços de Engenharia (IPPC Engenharia), instituído pela Consultoria-Geral da União / AGU, conferindo uniformidade, celeridade e segurança jurídica à licitação.</w:t>
      </w:r>
    </w:p>
    <w:p w14:paraId="48D7E335" w14:textId="77777777" w:rsidR="00E566AA" w:rsidRPr="00B4731D" w:rsidRDefault="00000000">
      <w:pPr>
        <w:spacing w:before="200" w:after="80"/>
        <w:rPr>
          <w:lang w:val="pt-BR"/>
        </w:rPr>
      </w:pPr>
      <w:r w:rsidRPr="00B4731D">
        <w:rPr>
          <w:b/>
          <w:color w:val="224466"/>
          <w:lang w:val="pt-BR"/>
        </w:rPr>
        <w:t>2. Quanto ao Projeto Básico, Acervo Técnico e Suficiência do Termo de Referência (§ 39)</w:t>
      </w:r>
    </w:p>
    <w:p w14:paraId="1D3440E6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 xml:space="preserve">5. No tocante à ausência de peça isolada denominada 'Projeto Básico', este responsável técnico atesta formalmente que a Administração possui acervo técnico e arquitetônico completo e </w:t>
      </w:r>
      <w:r w:rsidRPr="00B4731D">
        <w:rPr>
          <w:lang w:val="pt-BR"/>
        </w:rPr>
        <w:lastRenderedPageBreak/>
        <w:t>consolidado, o qual serviu de base absoluta para o levantamento métrico rigoroso e a identificação de todas as intervenções físicas previstas nos 11 itens:</w:t>
      </w:r>
    </w:p>
    <w:p w14:paraId="78AA6675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• Projeto Arquitetônico do Edifício Sede do MGI-ES e Anexo (plantas baixas, cortes, elevações e fachadas completas em formato CAD DWG e PDF);</w:t>
      </w:r>
    </w:p>
    <w:p w14:paraId="3C298B78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• Projeto da Calçada Cidadã (especificações de passeios públicos, drenagem perimetral e rampas de acessibilidade universal - NBR 9050);</w:t>
      </w:r>
    </w:p>
    <w:p w14:paraId="20D842E7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• Projeto do Estacionamento da Princesa Isabel (demarcação e pavimentação);</w:t>
      </w:r>
    </w:p>
    <w:p w14:paraId="238B5643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• Projeto e Planta do Anexo da Vila Rubim;</w:t>
      </w:r>
    </w:p>
    <w:p w14:paraId="3379009D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• Projetos Executivos em CAD (DWG) da Reforma e Recuperação da Marquise (Item 11);</w:t>
      </w:r>
    </w:p>
    <w:p w14:paraId="44194A52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• Projeto Básico Específico dos Elevadores do MGI-ES (Item 01).</w:t>
      </w:r>
    </w:p>
    <w:p w14:paraId="194509FA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6. Esse conjunto documental contempla integralmente a estrutura arquitetônica do edifício sede e de seus anexos operacionais. Nesse esteio, com fulcro no art. 46, § 3º, da Lei nº 14.133/2021, demonstrada a inexistência de qualquer prejuízo para a aferição dos padrões de desempenho e qualidade almejados em serviços comuns de engenharia, a especificação técnica foi devidamente concentrada no Termo de Referência e nos Cadernos de Especificações Técnicas dos 11 Itens, suprindo com ampla suficiência todos os requisitos substantivos do art. 6º, inciso XXV, da referida Lei.</w:t>
      </w:r>
    </w:p>
    <w:p w14:paraId="089C7BAA" w14:textId="77777777" w:rsidR="00E566AA" w:rsidRPr="00B4731D" w:rsidRDefault="00000000">
      <w:pPr>
        <w:spacing w:before="200" w:after="80"/>
        <w:rPr>
          <w:lang w:val="pt-BR"/>
        </w:rPr>
      </w:pPr>
      <w:r w:rsidRPr="00B4731D">
        <w:rPr>
          <w:b/>
          <w:color w:val="224466"/>
          <w:lang w:val="pt-BR"/>
        </w:rPr>
        <w:t>3. Quanto à Elaboração de Detalhamentos Executivos pela Contratada (§ 44 e § 45)</w:t>
      </w:r>
    </w:p>
    <w:p w14:paraId="7640D2F1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7. Com fundamento no art. 46, § 1º, e no art. 6º, inciso XXVI, da Lei nº 14.133/2021, caberá à futura CONTRATADA elaborar todos os detalhamentos executivos complementares necessários à adequada execução dos serviços, incluindo, sem limitação: projetos de instalação e operação de canteiro, detalhamento de pontos de ancoragem para trabalho em altura (NR-35), planos de montagem de andaimes suspensos e balancins, procedimentos executivos de impermeabilização/selagem e demais peças técnicas de campo exigíveis para a perfeita execução do objeto.</w:t>
      </w:r>
    </w:p>
    <w:p w14:paraId="2FE94B82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8. Declaração Formal de Custos: Este Engenheiro Fiscal DECLARA FORMALMENTE que os custos decorrentes da elaboração dessas peças técnicas complementares encontram-se rigorosamente incluídos nos preços contratados, absorvidos pelos encargos de Administração Local e pela taxa de Bonificações e Despesas Indiretas (BDI - Administração Central/Custos Indiretos), não sendo devido qualquer pagamento adicional a este título.</w:t>
      </w:r>
    </w:p>
    <w:p w14:paraId="240279B1" w14:textId="6155D32D" w:rsidR="00E566AA" w:rsidRPr="00B4731D" w:rsidRDefault="00000000">
      <w:pPr>
        <w:rPr>
          <w:lang w:val="pt-BR"/>
        </w:rPr>
      </w:pPr>
      <w:r w:rsidRPr="00B4731D">
        <w:rPr>
          <w:lang w:val="pt-BR"/>
        </w:rPr>
        <w:t xml:space="preserve">9. A minuta de cláusula para incorporação no Termo de Referência e na Minuta de Contrato já foi </w:t>
      </w:r>
      <w:r w:rsidR="00D32967">
        <w:rPr>
          <w:lang w:val="pt-BR"/>
        </w:rPr>
        <w:t>solicita</w:t>
      </w:r>
      <w:r w:rsidR="00757B90">
        <w:rPr>
          <w:lang w:val="pt-BR"/>
        </w:rPr>
        <w:t>do</w:t>
      </w:r>
      <w:r w:rsidRPr="00B4731D">
        <w:rPr>
          <w:lang w:val="pt-BR"/>
        </w:rPr>
        <w:t xml:space="preserve"> </w:t>
      </w:r>
      <w:r w:rsidR="00B4731D" w:rsidRPr="00B4731D">
        <w:rPr>
          <w:lang w:val="pt-BR"/>
        </w:rPr>
        <w:t>ao Paul</w:t>
      </w:r>
      <w:r w:rsidR="00B4731D">
        <w:rPr>
          <w:lang w:val="pt-BR"/>
        </w:rPr>
        <w:t xml:space="preserve">inho </w:t>
      </w:r>
      <w:r w:rsidR="00D32967">
        <w:rPr>
          <w:lang w:val="pt-BR"/>
        </w:rPr>
        <w:t>pa</w:t>
      </w:r>
      <w:r w:rsidR="00757B90">
        <w:rPr>
          <w:lang w:val="pt-BR"/>
        </w:rPr>
        <w:t xml:space="preserve">ra encaminhar </w:t>
      </w:r>
      <w:r w:rsidRPr="00B4731D">
        <w:rPr>
          <w:lang w:val="pt-BR"/>
        </w:rPr>
        <w:t>à Equipe de Licitações</w:t>
      </w:r>
      <w:r w:rsidR="00757B90">
        <w:rPr>
          <w:lang w:val="pt-BR"/>
        </w:rPr>
        <w:t>.</w:t>
      </w:r>
    </w:p>
    <w:p w14:paraId="0E034F60" w14:textId="77777777" w:rsidR="00E566AA" w:rsidRPr="00B4731D" w:rsidRDefault="00000000">
      <w:pPr>
        <w:spacing w:before="200" w:after="80"/>
        <w:rPr>
          <w:lang w:val="pt-BR"/>
        </w:rPr>
      </w:pPr>
      <w:r w:rsidRPr="00B4731D">
        <w:rPr>
          <w:b/>
          <w:color w:val="224466"/>
          <w:lang w:val="pt-BR"/>
        </w:rPr>
        <w:t>4. Quanto às Planilhas Orçamentárias Analíticas (§ 57)</w:t>
      </w:r>
    </w:p>
    <w:p w14:paraId="3008C1B6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 xml:space="preserve">10. Em estrito cumprimento à Súmula TCU nº 258/2010, a Engenharia emitiu diretamente da plataforma Orçafascio os cadernos completos de Composições Analíticas de Custos Unitários referentes aos 11 itens da contratação, procedendo à juntada formal aos autos do processo SEI. Todas as composições encontram-se plenamente abertas, discriminando coeficientes de </w:t>
      </w:r>
      <w:r w:rsidRPr="00B4731D">
        <w:rPr>
          <w:lang w:val="pt-BR"/>
        </w:rPr>
        <w:lastRenderedPageBreak/>
        <w:t>produtividade, insumos de mão de obra e materiais, equipamentos e os respectivos encargos sociais cabíveis, inexistindo qualquer emprego de verba genérica.</w:t>
      </w:r>
    </w:p>
    <w:p w14:paraId="5AFC208F" w14:textId="77777777" w:rsidR="00E566AA" w:rsidRPr="00B4731D" w:rsidRDefault="00000000">
      <w:pPr>
        <w:spacing w:before="200" w:after="80"/>
        <w:rPr>
          <w:lang w:val="pt-BR"/>
        </w:rPr>
      </w:pPr>
      <w:r w:rsidRPr="00B4731D">
        <w:rPr>
          <w:b/>
          <w:color w:val="224466"/>
          <w:lang w:val="pt-BR"/>
        </w:rPr>
        <w:t>5. Quanto à Hierarquia de Preços e Suficiência do SINAPI (§ 58)</w:t>
      </w:r>
    </w:p>
    <w:p w14:paraId="1579E5B1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11. A orçamentação seguiu com absoluto rigor a ordem de precedência estabelecida no art. 23, § 2º, da Lei nº 14.133/2021:</w:t>
      </w:r>
    </w:p>
    <w:p w14:paraId="006D85AE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• Prioridade Legal (SINAPI Vitória/ES e IOPES): Mais de 85% dos serviços orçados foram extraídos diretamente do SINAPI Desonerado da localidade de Vitória/ES, complementados subsidiariamente pela tabela do IOPES (Instituto de Obras Públicas do Espírito Santo), a qual espelha fielmente o mercado regional da construção civil.</w:t>
      </w:r>
    </w:p>
    <w:p w14:paraId="04AE178A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• Serviços Especializados (IN SEGES/ME nº 65/2021): O sistema SINAPI mostrou-se comprovadamente insuficiente apenas para serviços que envolvem tecnologia proprietária ou alta especialização predial não contemplada no catálogo da CEF, a saber: Item 02 (Limpeza Robotizada de Dutos sob a NBR 14679); Item 06 (Película Solar de controle térmico); e Item 10 (Manutenção de grupo gerador e cubículo blindado de subestação).</w:t>
      </w:r>
    </w:p>
    <w:p w14:paraId="25C9CCDF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12. Para esses itens, foram elaboradas pesquisas de preços balizadas nos moldes da IN 65/2021, colhendo propostas comerciais de empresas especializadas locais da Grande Vitória e consultas ao Painel de Preços, adotando-se a mediana/menor preço saneado.</w:t>
      </w:r>
    </w:p>
    <w:p w14:paraId="49C54DC7" w14:textId="77777777" w:rsidR="00E566AA" w:rsidRPr="00B4731D" w:rsidRDefault="00000000">
      <w:pPr>
        <w:spacing w:before="200" w:after="80"/>
        <w:rPr>
          <w:lang w:val="pt-BR"/>
        </w:rPr>
      </w:pPr>
      <w:r w:rsidRPr="00B4731D">
        <w:rPr>
          <w:b/>
          <w:color w:val="224466"/>
          <w:lang w:val="pt-BR"/>
        </w:rPr>
        <w:t>6. Quanto aos Critérios de Aceitabilidade de Preços Unitários e Globais (§ 63)</w:t>
      </w:r>
    </w:p>
    <w:p w14:paraId="31459FC7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13. Ratifica-se que os preços unitários constantes da planilha orçamentária referencial representam os limites máximos aceitáveis para julgamento das propostas das licitantes, contemplando tanto a análise do valor global quanto o controle unitário de cada serviço, dando cumprimento às Súmulas TCU nº 258 e 259.</w:t>
      </w:r>
    </w:p>
    <w:p w14:paraId="570F543B" w14:textId="77777777" w:rsidR="00E566AA" w:rsidRPr="00B4731D" w:rsidRDefault="00000000">
      <w:pPr>
        <w:spacing w:before="200" w:after="80"/>
        <w:rPr>
          <w:lang w:val="pt-BR"/>
        </w:rPr>
      </w:pPr>
      <w:r w:rsidRPr="00B4731D">
        <w:rPr>
          <w:b/>
          <w:color w:val="224466"/>
          <w:lang w:val="pt-BR"/>
        </w:rPr>
        <w:t>7. Quanto à Inaplicabilidade de BDI Diferenciado para Fornecimento (§ 65 - 67 / Súmula TCU 253)</w:t>
      </w:r>
    </w:p>
    <w:p w14:paraId="021F4B75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14. A incidência da Súmula TCU nº 253 restringe-se ao fornecimento autônomo de equipamentos ou materiais que representem percentual expressivo da obra e que possam ser parcelados sem prejuízo técnico à execução. No presente caso, não há fornecimento isolado de bens de capital (não há compra de chillers, elevadores novos ou subestação nova).</w:t>
      </w:r>
    </w:p>
    <w:p w14:paraId="059E69D3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15. Todos os materiais orçados (chapas metálicas galvanizadas, tintas epóxi, mastiques de poliuretano, argamassas poliméricas, películas e peças sobressalentes de gerador) constituem insumos intrínsecos e indivisíveis dos serviços de empreitada de conservação, cuja aplicação, descarte, transporte e garantia legal são personalíssimos da contratada. Fracionar tais fornecimentos implicaria grave insegurança técnica e perda de garantia por vício de montagem. Logo, o BDI de 25,00% (calibrado dentro dos limites do Acórdão TCU nº 2.622/2013-Plenário) incide legitimamente sobre o valor global dos serviços.</w:t>
      </w:r>
    </w:p>
    <w:p w14:paraId="294E7E7A" w14:textId="77777777" w:rsidR="00E566AA" w:rsidRPr="00B4731D" w:rsidRDefault="00000000">
      <w:pPr>
        <w:spacing w:before="200" w:after="80"/>
        <w:rPr>
          <w:lang w:val="pt-BR"/>
        </w:rPr>
      </w:pPr>
      <w:r w:rsidRPr="00B4731D">
        <w:rPr>
          <w:b/>
          <w:color w:val="224466"/>
          <w:lang w:val="pt-BR"/>
        </w:rPr>
        <w:t>8. Quanto à Demonstração de Vantajosidade do Regime Desonerado (§ 68 - 72)</w:t>
      </w:r>
    </w:p>
    <w:p w14:paraId="4356C8FB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lastRenderedPageBreak/>
        <w:t>16. Em observância à Lei nº 12.546/2011 e ao regime de transição instituído pela Lei nº 14.973/2024, atesta-se que a opção pelo regime DESONERADO é tecnicamente a mais econômica para o erário público.</w:t>
      </w:r>
    </w:p>
    <w:p w14:paraId="73691863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17. Tratando-se de serviços de engenharia predial com intensiva utilização de mão de obra (pintura externa, raspagem, recuperação de juntas, lavagem de fachadas e impermeabilização), a expressiva redução das alíquotas de encargos sociais sobre a folha básica no SINAPI resulta em expressiva economia no custo direto, a qual supera amplamente a incidência compensatória da alíquota de 4,5% da CPRB alocada na fórmula de BDI. O regime desonerado entrega, assim, um preço de referência global menor para a Administração.</w:t>
      </w:r>
    </w:p>
    <w:p w14:paraId="21D99656" w14:textId="77777777" w:rsidR="00E566AA" w:rsidRPr="00B4731D" w:rsidRDefault="00000000">
      <w:pPr>
        <w:spacing w:before="200" w:after="80"/>
        <w:rPr>
          <w:lang w:val="pt-BR"/>
        </w:rPr>
      </w:pPr>
      <w:r w:rsidRPr="00B4731D">
        <w:rPr>
          <w:b/>
          <w:color w:val="224466"/>
          <w:lang w:val="pt-BR"/>
        </w:rPr>
        <w:t>9. Quanto à Apresentação da Curva ABC de Serviços e Insumos (§ 73)</w:t>
      </w:r>
    </w:p>
    <w:p w14:paraId="33692B33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18. Registra-se que, nos relatórios orçamentários nativos extraídos da plataforma Orçafascio, a Curva ABC já se encontra plenamente expressa e implícita na coluna 'Peso %', a qual individualiza a representatividade percentual de cada item no custo total.</w:t>
      </w:r>
    </w:p>
    <w:p w14:paraId="64AB01B7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19. Sem prejuízo disso, em atenção à recomendação da AGU, foi processado e encartado aos autos o Relatório Técnico de Curva ABC Consolidada dos 11 Itens, comprovando que os itens de Classe A (Item 07 - Pintura Externa, Item 06 - Insulfilm, Item 11 - Marquise e Item 03 - Lavagem Envidraçada) concentram 74,45% da materialidade global (R$ 748.835,81), permitindo o direcionamento rigoroso da fiscalização sobre as fases financeiramente críticas.</w:t>
      </w:r>
    </w:p>
    <w:p w14:paraId="0F6DC08B" w14:textId="77777777" w:rsidR="00E566AA" w:rsidRPr="00B4731D" w:rsidRDefault="00000000">
      <w:pPr>
        <w:spacing w:before="200" w:after="80"/>
        <w:rPr>
          <w:lang w:val="pt-BR"/>
        </w:rPr>
      </w:pPr>
      <w:r w:rsidRPr="00B4731D">
        <w:rPr>
          <w:b/>
          <w:color w:val="224466"/>
          <w:lang w:val="pt-BR"/>
        </w:rPr>
        <w:t>10. Quanto à Regularização da ART Definitiva (§ 79)</w:t>
      </w:r>
    </w:p>
    <w:p w14:paraId="00806007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20. Em cumprimento à Súmula TCU nº 260, este responsável técnico providenciou a substituição da minuta preliminar pela Anotação de Responsabilidade Técnica (ART) DEFINITIVA registrada e quitada perante o CREA-ES, com seu respectivo comprovante bancário acostado aos autos, contemplando a responsabilidade técnica formal por todos os projetos, especificações, orçamentos e cronogramas dos 11 itens licitados.</w:t>
      </w:r>
    </w:p>
    <w:p w14:paraId="57F0A39D" w14:textId="77777777" w:rsidR="00E566AA" w:rsidRPr="00B4731D" w:rsidRDefault="00000000">
      <w:pPr>
        <w:spacing w:before="200" w:after="80"/>
        <w:rPr>
          <w:lang w:val="pt-BR"/>
        </w:rPr>
      </w:pPr>
      <w:r w:rsidRPr="00B4731D">
        <w:rPr>
          <w:b/>
          <w:color w:val="224466"/>
          <w:lang w:val="pt-BR"/>
        </w:rPr>
        <w:t>11. Quanto à Empreitada por Preço Global e Matriz de Riscos (§ 92, § 97 e § 98)</w:t>
      </w:r>
    </w:p>
    <w:p w14:paraId="45C1AB48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21. A escolha pelo regime de Empreitada por Preço Global ampara-se no art. 46 da Lei nº 14.133/2021 e no Acórdão TCU nº 1.977/2013-Plenário, justificada pela exatidão e maturidade do acervo de projetos e das medições físicas in loco consolidadas pelo Orçafascio.</w:t>
      </w:r>
    </w:p>
    <w:p w14:paraId="31D4C804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22. Em atenção aos §§ 97 e 98, a Administração ACOLHE a recomendação e formaliza nos autos a Matriz de Riscos do Contrato, delimitando com segurança:</w:t>
      </w:r>
    </w:p>
    <w:p w14:paraId="4B0A19A5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• Mera Imprecisão Ordinária: Variações de até 5% nos quantitativos físicos de itens unitários, ou de até 2% no valor global do contrato, constituem álea ordinária da contratada, sem direito a termo aditivo;</w:t>
      </w:r>
    </w:p>
    <w:p w14:paraId="5D86A0C3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• Sub/Superestimativas Relevantes: Revisões contratuais para reequilíbrio econômico-financeiro restringem-se a itens de Classe A da Curva ABC, decorrentes de vícios ocultos comprovadamente imprevisíveis, respeitado o limite máximo regulamentar de tolerância de erros de 10% do valor total do contrato (art. 13, inciso II, do Decreto nº 7.983/2013);</w:t>
      </w:r>
    </w:p>
    <w:p w14:paraId="10D2402B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lastRenderedPageBreak/>
        <w:t>• Riscos Climáticos e Segurança: Riscos ordinários de chuvas na Grande Vitória e custos de segurança NR-35 (ancoragens e andaimes) são encargos exclusivos da Contratada, devidamente suportados pelo BDI e Administração Local.</w:t>
      </w:r>
    </w:p>
    <w:p w14:paraId="6CF4779A" w14:textId="77777777" w:rsidR="00E566AA" w:rsidRPr="00B4731D" w:rsidRDefault="00000000">
      <w:pPr>
        <w:spacing w:before="200" w:after="80"/>
        <w:rPr>
          <w:lang w:val="pt-BR"/>
        </w:rPr>
      </w:pPr>
      <w:r w:rsidRPr="00B4731D">
        <w:rPr>
          <w:b/>
          <w:color w:val="224466"/>
          <w:lang w:val="pt-BR"/>
        </w:rPr>
        <w:t>12. Quanto à Harmonização da Vistoria Técnica (§ 110)</w:t>
      </w:r>
    </w:p>
    <w:p w14:paraId="799D41CF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23. Fica harmonizado no Edital e no Termo de Referência que a vistoria prévia ao local é FACULTATIVA (art. 63, § 2º, Lei 14.133/2021). Caso a licitante opte por não realizá-la, deverá firmar em sua proposta a Declaração Formal de Pleno Conhecimento das condições locais, não podendo alegar desconhecimento posterior para pleitear aditivos.</w:t>
      </w:r>
    </w:p>
    <w:p w14:paraId="20F28D93" w14:textId="77777777" w:rsidR="00E566AA" w:rsidRPr="00B4731D" w:rsidRDefault="00000000">
      <w:pPr>
        <w:spacing w:before="280"/>
        <w:rPr>
          <w:lang w:val="pt-BR"/>
        </w:rPr>
      </w:pPr>
      <w:r w:rsidRPr="00B4731D">
        <w:rPr>
          <w:b/>
          <w:color w:val="003366"/>
          <w:sz w:val="25"/>
          <w:lang w:val="pt-BR"/>
        </w:rPr>
        <w:t>III. MATRIZ PADRONIZADA DOS 11 ITENS LICITADOS (PROJETO ORCA AI)</w:t>
      </w:r>
    </w:p>
    <w:p w14:paraId="142DFF1F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24. Ratifica-se que todos os 11 projetos integrantes do certame encontram-se instruídos e padronizados com o conjunto documental obrigatório completo: (1) Projeto Básico / Desenhos Arquitetônicos; (2) Especificação Técnica Detalhada; (3) Orçamento Sintético (SINAPI Vitória/ES); (4) Orçamento Analítico; (5) Cronograma Físico-Financeiro; e (6) Planilha de BDI (25,00%):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744"/>
        <w:gridCol w:w="1584"/>
        <w:gridCol w:w="1008"/>
        <w:gridCol w:w="1584"/>
        <w:gridCol w:w="1152"/>
      </w:tblGrid>
      <w:tr w:rsidR="00E566AA" w14:paraId="24A6F055" w14:textId="77777777">
        <w:trPr>
          <w:jc w:val="center"/>
        </w:trPr>
        <w:tc>
          <w:tcPr>
            <w:tcW w:w="864" w:type="dxa"/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A0FD03" w14:textId="77777777" w:rsidR="00E566AA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744" w:type="dxa"/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173123" w14:textId="77777777" w:rsidR="00E566AA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Objeto Técnico Especializado</w:t>
            </w:r>
          </w:p>
        </w:tc>
        <w:tc>
          <w:tcPr>
            <w:tcW w:w="1584" w:type="dxa"/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C4C569" w14:textId="77777777" w:rsidR="00E566AA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Base Ref.</w:t>
            </w:r>
          </w:p>
        </w:tc>
        <w:tc>
          <w:tcPr>
            <w:tcW w:w="1008" w:type="dxa"/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D621BC" w14:textId="77777777" w:rsidR="00E566AA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BDI</w:t>
            </w:r>
          </w:p>
        </w:tc>
        <w:tc>
          <w:tcPr>
            <w:tcW w:w="1584" w:type="dxa"/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D92C46" w14:textId="77777777" w:rsidR="00E566AA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Valor Estimado</w:t>
            </w:r>
          </w:p>
        </w:tc>
        <w:tc>
          <w:tcPr>
            <w:tcW w:w="1152" w:type="dxa"/>
            <w:shd w:val="clear" w:color="auto" w:fill="003366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844064" w14:textId="77777777" w:rsidR="00E566AA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Curva ABC</w:t>
            </w:r>
          </w:p>
        </w:tc>
      </w:tr>
      <w:tr w:rsidR="00E566AA" w14:paraId="521025C4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5EA29B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01</w:t>
            </w:r>
          </w:p>
        </w:tc>
        <w:tc>
          <w:tcPr>
            <w:tcW w:w="374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90D0DA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Substituição do Teto dos Elevadores</w:t>
            </w:r>
          </w:p>
        </w:tc>
        <w:tc>
          <w:tcPr>
            <w:tcW w:w="158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A90C0B" w14:textId="77777777" w:rsidR="00E566AA" w:rsidRDefault="00000000">
            <w:pPr>
              <w:spacing w:after="40"/>
            </w:pPr>
            <w:r>
              <w:rPr>
                <w:sz w:val="17"/>
              </w:rPr>
              <w:t>SINAPI/Própria</w:t>
            </w:r>
          </w:p>
        </w:tc>
        <w:tc>
          <w:tcPr>
            <w:tcW w:w="1008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3FDB77" w14:textId="77777777" w:rsidR="00E566AA" w:rsidRDefault="00000000">
            <w:pPr>
              <w:spacing w:after="40"/>
            </w:pPr>
            <w:r>
              <w:rPr>
                <w:sz w:val="17"/>
              </w:rPr>
              <w:t>25,00%</w:t>
            </w:r>
          </w:p>
        </w:tc>
        <w:tc>
          <w:tcPr>
            <w:tcW w:w="158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D31310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R$ 32.194,17</w:t>
            </w:r>
          </w:p>
        </w:tc>
        <w:tc>
          <w:tcPr>
            <w:tcW w:w="1152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8F1471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Classe B</w:t>
            </w:r>
          </w:p>
        </w:tc>
      </w:tr>
      <w:tr w:rsidR="00E566AA" w14:paraId="52A49ABC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85ADA3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02</w:t>
            </w:r>
          </w:p>
        </w:tc>
        <w:tc>
          <w:tcPr>
            <w:tcW w:w="374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633376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Limpeza Robotizada dos Dutos de AC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BA0942" w14:textId="77777777" w:rsidR="00E566AA" w:rsidRDefault="00000000">
            <w:pPr>
              <w:spacing w:after="40"/>
            </w:pPr>
            <w:r>
              <w:rPr>
                <w:sz w:val="17"/>
              </w:rPr>
              <w:t>Pesquisa IN 65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022F8D" w14:textId="77777777" w:rsidR="00E566AA" w:rsidRDefault="00000000">
            <w:pPr>
              <w:spacing w:after="40"/>
            </w:pPr>
            <w:r>
              <w:rPr>
                <w:sz w:val="17"/>
              </w:rPr>
              <w:t>25,00%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E6F064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R$ 44.011,83</w:t>
            </w:r>
          </w:p>
        </w:tc>
        <w:tc>
          <w:tcPr>
            <w:tcW w:w="115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A100B4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Classe B</w:t>
            </w:r>
          </w:p>
        </w:tc>
      </w:tr>
      <w:tr w:rsidR="00E566AA" w14:paraId="7AF96639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D0F19F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03</w:t>
            </w:r>
          </w:p>
        </w:tc>
        <w:tc>
          <w:tcPr>
            <w:tcW w:w="374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D213A3" w14:textId="77777777" w:rsidR="00E566AA" w:rsidRDefault="00000000">
            <w:pPr>
              <w:spacing w:after="40"/>
            </w:pPr>
            <w:r>
              <w:rPr>
                <w:sz w:val="17"/>
              </w:rPr>
              <w:t>Lavagem Fachada Envidraçada</w:t>
            </w:r>
          </w:p>
        </w:tc>
        <w:tc>
          <w:tcPr>
            <w:tcW w:w="158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483ADD" w14:textId="77777777" w:rsidR="00E566AA" w:rsidRDefault="00000000">
            <w:pPr>
              <w:spacing w:after="40"/>
            </w:pPr>
            <w:r>
              <w:rPr>
                <w:sz w:val="17"/>
              </w:rPr>
              <w:t>SINAPI/IOPES</w:t>
            </w:r>
          </w:p>
        </w:tc>
        <w:tc>
          <w:tcPr>
            <w:tcW w:w="1008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072AA4" w14:textId="77777777" w:rsidR="00E566AA" w:rsidRDefault="00000000">
            <w:pPr>
              <w:spacing w:after="40"/>
            </w:pPr>
            <w:r>
              <w:rPr>
                <w:sz w:val="17"/>
              </w:rPr>
              <w:t>25,00%</w:t>
            </w:r>
          </w:p>
        </w:tc>
        <w:tc>
          <w:tcPr>
            <w:tcW w:w="158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FBC72C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R$ 94.172,48</w:t>
            </w:r>
          </w:p>
        </w:tc>
        <w:tc>
          <w:tcPr>
            <w:tcW w:w="1152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14A48B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Classe A</w:t>
            </w:r>
          </w:p>
        </w:tc>
      </w:tr>
      <w:tr w:rsidR="00E566AA" w14:paraId="0795F98A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D390F7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04</w:t>
            </w:r>
          </w:p>
        </w:tc>
        <w:tc>
          <w:tcPr>
            <w:tcW w:w="374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6D4219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Tratamento de Juntas de Dilatação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8DA846" w14:textId="77777777" w:rsidR="00E566AA" w:rsidRDefault="00000000">
            <w:pPr>
              <w:spacing w:after="40"/>
            </w:pPr>
            <w:r>
              <w:rPr>
                <w:sz w:val="17"/>
              </w:rPr>
              <w:t>SINAPI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7D748D" w14:textId="77777777" w:rsidR="00E566AA" w:rsidRDefault="00000000">
            <w:pPr>
              <w:spacing w:after="40"/>
            </w:pPr>
            <w:r>
              <w:rPr>
                <w:sz w:val="17"/>
              </w:rPr>
              <w:t>25,00%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ED0703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R$ 31.794,07</w:t>
            </w:r>
          </w:p>
        </w:tc>
        <w:tc>
          <w:tcPr>
            <w:tcW w:w="115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32C400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Classe C</w:t>
            </w:r>
          </w:p>
        </w:tc>
      </w:tr>
      <w:tr w:rsidR="00E566AA" w14:paraId="2C6F7AD4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92C5D4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05</w:t>
            </w:r>
          </w:p>
        </w:tc>
        <w:tc>
          <w:tcPr>
            <w:tcW w:w="374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BC0D50" w14:textId="77777777" w:rsidR="00E566AA" w:rsidRDefault="00000000">
            <w:pPr>
              <w:spacing w:after="40"/>
            </w:pPr>
            <w:r>
              <w:rPr>
                <w:sz w:val="17"/>
              </w:rPr>
              <w:t>Pintura Anticorrosiva de Grades</w:t>
            </w:r>
          </w:p>
        </w:tc>
        <w:tc>
          <w:tcPr>
            <w:tcW w:w="158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5791DA" w14:textId="77777777" w:rsidR="00E566AA" w:rsidRDefault="00000000">
            <w:pPr>
              <w:spacing w:after="40"/>
            </w:pPr>
            <w:r>
              <w:rPr>
                <w:sz w:val="17"/>
              </w:rPr>
              <w:t>SINAPI</w:t>
            </w:r>
          </w:p>
        </w:tc>
        <w:tc>
          <w:tcPr>
            <w:tcW w:w="1008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831F39" w14:textId="77777777" w:rsidR="00E566AA" w:rsidRDefault="00000000">
            <w:pPr>
              <w:spacing w:after="40"/>
            </w:pPr>
            <w:r>
              <w:rPr>
                <w:sz w:val="17"/>
              </w:rPr>
              <w:t>25,00%</w:t>
            </w:r>
          </w:p>
        </w:tc>
        <w:tc>
          <w:tcPr>
            <w:tcW w:w="158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51D566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R$ 51.398,76</w:t>
            </w:r>
          </w:p>
        </w:tc>
        <w:tc>
          <w:tcPr>
            <w:tcW w:w="1152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74A876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Classe B</w:t>
            </w:r>
          </w:p>
        </w:tc>
      </w:tr>
      <w:tr w:rsidR="00E566AA" w14:paraId="265DA9B6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C7E730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06</w:t>
            </w:r>
          </w:p>
        </w:tc>
        <w:tc>
          <w:tcPr>
            <w:tcW w:w="374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FD03EA" w14:textId="77777777" w:rsidR="00E566AA" w:rsidRDefault="00000000">
            <w:pPr>
              <w:spacing w:after="40"/>
            </w:pPr>
            <w:r>
              <w:rPr>
                <w:sz w:val="17"/>
              </w:rPr>
              <w:t>Substituição de Películas Solares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8BFBED" w14:textId="77777777" w:rsidR="00E566AA" w:rsidRDefault="00000000">
            <w:pPr>
              <w:spacing w:after="40"/>
            </w:pPr>
            <w:r>
              <w:rPr>
                <w:sz w:val="17"/>
              </w:rPr>
              <w:t>Pesquisa IN 65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4C9DB9" w14:textId="77777777" w:rsidR="00E566AA" w:rsidRDefault="00000000">
            <w:pPr>
              <w:spacing w:after="40"/>
            </w:pPr>
            <w:r>
              <w:rPr>
                <w:sz w:val="17"/>
              </w:rPr>
              <w:t>25,00%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4B87E4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R$ 171.299,50</w:t>
            </w:r>
          </w:p>
        </w:tc>
        <w:tc>
          <w:tcPr>
            <w:tcW w:w="115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A90CD2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Classe A</w:t>
            </w:r>
          </w:p>
        </w:tc>
      </w:tr>
      <w:tr w:rsidR="00E566AA" w14:paraId="02807964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44614A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07</w:t>
            </w:r>
          </w:p>
        </w:tc>
        <w:tc>
          <w:tcPr>
            <w:tcW w:w="374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553A3C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Pintura Geral Externa Sede e Garagem</w:t>
            </w:r>
          </w:p>
        </w:tc>
        <w:tc>
          <w:tcPr>
            <w:tcW w:w="158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A7EE6F" w14:textId="77777777" w:rsidR="00E566AA" w:rsidRDefault="00000000">
            <w:pPr>
              <w:spacing w:after="40"/>
            </w:pPr>
            <w:r>
              <w:rPr>
                <w:sz w:val="17"/>
              </w:rPr>
              <w:t>SINAPI Vitória</w:t>
            </w:r>
          </w:p>
        </w:tc>
        <w:tc>
          <w:tcPr>
            <w:tcW w:w="1008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72DB9D" w14:textId="77777777" w:rsidR="00E566AA" w:rsidRDefault="00000000">
            <w:pPr>
              <w:spacing w:after="40"/>
            </w:pPr>
            <w:r>
              <w:rPr>
                <w:sz w:val="17"/>
              </w:rPr>
              <w:t>25,00%</w:t>
            </w:r>
          </w:p>
        </w:tc>
        <w:tc>
          <w:tcPr>
            <w:tcW w:w="158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5FCDDC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R$ 358.338,32</w:t>
            </w:r>
          </w:p>
        </w:tc>
        <w:tc>
          <w:tcPr>
            <w:tcW w:w="1152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6930C2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Classe A</w:t>
            </w:r>
          </w:p>
        </w:tc>
      </w:tr>
      <w:tr w:rsidR="00E566AA" w14:paraId="6C74458A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BDAEFF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08</w:t>
            </w:r>
          </w:p>
        </w:tc>
        <w:tc>
          <w:tcPr>
            <w:tcW w:w="374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EF32EC" w14:textId="77777777" w:rsidR="00E566AA" w:rsidRDefault="00000000">
            <w:pPr>
              <w:spacing w:after="40"/>
            </w:pPr>
            <w:r>
              <w:rPr>
                <w:sz w:val="17"/>
              </w:rPr>
              <w:t>Impermeabilização da Cisterna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8160BF" w14:textId="77777777" w:rsidR="00E566AA" w:rsidRDefault="00000000">
            <w:pPr>
              <w:spacing w:after="40"/>
            </w:pPr>
            <w:r>
              <w:rPr>
                <w:sz w:val="17"/>
              </w:rPr>
              <w:t>SINAPI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697780" w14:textId="77777777" w:rsidR="00E566AA" w:rsidRDefault="00000000">
            <w:pPr>
              <w:spacing w:after="40"/>
            </w:pPr>
            <w:r>
              <w:rPr>
                <w:sz w:val="17"/>
              </w:rPr>
              <w:t>25,00%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1A2392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R$ 47.508,76</w:t>
            </w:r>
          </w:p>
        </w:tc>
        <w:tc>
          <w:tcPr>
            <w:tcW w:w="115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D3691C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Classe B</w:t>
            </w:r>
          </w:p>
        </w:tc>
      </w:tr>
      <w:tr w:rsidR="00E566AA" w14:paraId="315A37A5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9CAE67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09</w:t>
            </w:r>
          </w:p>
        </w:tc>
        <w:tc>
          <w:tcPr>
            <w:tcW w:w="374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DB7537" w14:textId="77777777" w:rsidR="00E566AA" w:rsidRDefault="00000000">
            <w:pPr>
              <w:spacing w:after="40"/>
            </w:pPr>
            <w:r>
              <w:rPr>
                <w:sz w:val="17"/>
              </w:rPr>
              <w:t>Limpeza de Módulos Fotovoltaicos</w:t>
            </w:r>
          </w:p>
        </w:tc>
        <w:tc>
          <w:tcPr>
            <w:tcW w:w="158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2CA9FB" w14:textId="77777777" w:rsidR="00E566AA" w:rsidRDefault="00000000">
            <w:pPr>
              <w:spacing w:after="40"/>
            </w:pPr>
            <w:r>
              <w:rPr>
                <w:sz w:val="17"/>
              </w:rPr>
              <w:t>SINAPI/IOPES</w:t>
            </w:r>
          </w:p>
        </w:tc>
        <w:tc>
          <w:tcPr>
            <w:tcW w:w="1008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81C458" w14:textId="77777777" w:rsidR="00E566AA" w:rsidRDefault="00000000">
            <w:pPr>
              <w:spacing w:after="40"/>
            </w:pPr>
            <w:r>
              <w:rPr>
                <w:sz w:val="17"/>
              </w:rPr>
              <w:t>25,00%</w:t>
            </w:r>
          </w:p>
        </w:tc>
        <w:tc>
          <w:tcPr>
            <w:tcW w:w="158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564CB8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R$ 27.153,65</w:t>
            </w:r>
          </w:p>
        </w:tc>
        <w:tc>
          <w:tcPr>
            <w:tcW w:w="1152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CA0623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Classe C</w:t>
            </w:r>
          </w:p>
        </w:tc>
      </w:tr>
      <w:tr w:rsidR="00E566AA" w14:paraId="7E821C1C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1580FE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w="374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02781F" w14:textId="77777777" w:rsidR="00E566AA" w:rsidRPr="00B4731D" w:rsidRDefault="00000000">
            <w:pPr>
              <w:spacing w:after="40"/>
              <w:rPr>
                <w:lang w:val="pt-BR"/>
              </w:rPr>
            </w:pPr>
            <w:r w:rsidRPr="00B4731D">
              <w:rPr>
                <w:sz w:val="17"/>
                <w:lang w:val="pt-BR"/>
              </w:rPr>
              <w:t>Manutenção de Gerador e Subestação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C7342D" w14:textId="77777777" w:rsidR="00E566AA" w:rsidRDefault="00000000">
            <w:pPr>
              <w:spacing w:after="40"/>
            </w:pPr>
            <w:r>
              <w:rPr>
                <w:sz w:val="17"/>
              </w:rPr>
              <w:t>Cotações IN 65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296003" w14:textId="77777777" w:rsidR="00E566AA" w:rsidRDefault="00000000">
            <w:pPr>
              <w:spacing w:after="40"/>
            </w:pPr>
            <w:r>
              <w:rPr>
                <w:sz w:val="17"/>
              </w:rPr>
              <w:t>25,00%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553FBC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R$ 22.829,87</w:t>
            </w:r>
          </w:p>
        </w:tc>
        <w:tc>
          <w:tcPr>
            <w:tcW w:w="115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7AF7D2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Classe C</w:t>
            </w:r>
          </w:p>
        </w:tc>
      </w:tr>
      <w:tr w:rsidR="00E566AA" w14:paraId="1DE28BCC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7D62DE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w="374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46D2DD" w14:textId="77777777" w:rsidR="00E566AA" w:rsidRDefault="00000000">
            <w:pPr>
              <w:spacing w:after="40"/>
            </w:pPr>
            <w:r>
              <w:rPr>
                <w:sz w:val="17"/>
              </w:rPr>
              <w:t>Reforma e Impermeabilização Marquise</w:t>
            </w:r>
          </w:p>
        </w:tc>
        <w:tc>
          <w:tcPr>
            <w:tcW w:w="158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14378F" w14:textId="77777777" w:rsidR="00E566AA" w:rsidRDefault="00000000">
            <w:pPr>
              <w:spacing w:after="40"/>
            </w:pPr>
            <w:r>
              <w:rPr>
                <w:sz w:val="17"/>
              </w:rPr>
              <w:t>SINAPI</w:t>
            </w:r>
          </w:p>
        </w:tc>
        <w:tc>
          <w:tcPr>
            <w:tcW w:w="1008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A44989" w14:textId="77777777" w:rsidR="00E566AA" w:rsidRDefault="00000000">
            <w:pPr>
              <w:spacing w:after="40"/>
            </w:pPr>
            <w:r>
              <w:rPr>
                <w:sz w:val="17"/>
              </w:rPr>
              <w:t>25,00%</w:t>
            </w:r>
          </w:p>
        </w:tc>
        <w:tc>
          <w:tcPr>
            <w:tcW w:w="1584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A5C56A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R$ 125.025,51</w:t>
            </w:r>
          </w:p>
        </w:tc>
        <w:tc>
          <w:tcPr>
            <w:tcW w:w="1152" w:type="dxa"/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9359A3" w14:textId="77777777" w:rsidR="00E566AA" w:rsidRDefault="00000000">
            <w:pPr>
              <w:spacing w:after="40"/>
            </w:pPr>
            <w:r>
              <w:rPr>
                <w:b/>
                <w:sz w:val="17"/>
              </w:rPr>
              <w:t>Classe A</w:t>
            </w:r>
          </w:p>
        </w:tc>
      </w:tr>
      <w:tr w:rsidR="00E566AA" w14:paraId="3CF56BE5" w14:textId="77777777">
        <w:trPr>
          <w:jc w:val="center"/>
        </w:trPr>
        <w:tc>
          <w:tcPr>
            <w:tcW w:w="864" w:type="dxa"/>
            <w:shd w:val="clear" w:color="auto" w:fill="E6EC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19D2D3" w14:textId="77777777" w:rsidR="00E566AA" w:rsidRDefault="00000000">
            <w:pPr>
              <w:spacing w:after="40"/>
            </w:pPr>
            <w:r>
              <w:rPr>
                <w:b/>
                <w:color w:val="003366"/>
                <w:sz w:val="17"/>
              </w:rPr>
              <w:t>TOTAL</w:t>
            </w:r>
          </w:p>
        </w:tc>
        <w:tc>
          <w:tcPr>
            <w:tcW w:w="3744" w:type="dxa"/>
            <w:shd w:val="clear" w:color="auto" w:fill="E6EC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B9A797" w14:textId="77777777" w:rsidR="00E566AA" w:rsidRDefault="00000000">
            <w:pPr>
              <w:spacing w:after="40"/>
            </w:pPr>
            <w:r>
              <w:rPr>
                <w:b/>
                <w:color w:val="003366"/>
                <w:sz w:val="17"/>
              </w:rPr>
              <w:t>VALOR GLOBAL CONSOLIDADO (11 ITENS)</w:t>
            </w:r>
          </w:p>
        </w:tc>
        <w:tc>
          <w:tcPr>
            <w:tcW w:w="1584" w:type="dxa"/>
            <w:shd w:val="clear" w:color="auto" w:fill="E6EC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5F3BDF" w14:textId="77777777" w:rsidR="00E566AA" w:rsidRDefault="00000000">
            <w:pPr>
              <w:spacing w:after="40"/>
            </w:pPr>
            <w:r>
              <w:rPr>
                <w:b/>
                <w:color w:val="003366"/>
                <w:sz w:val="17"/>
              </w:rPr>
              <w:t>CONSOLIDADO</w:t>
            </w:r>
          </w:p>
        </w:tc>
        <w:tc>
          <w:tcPr>
            <w:tcW w:w="1008" w:type="dxa"/>
            <w:shd w:val="clear" w:color="auto" w:fill="E6EC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88C90E" w14:textId="77777777" w:rsidR="00E566AA" w:rsidRDefault="00000000">
            <w:pPr>
              <w:spacing w:after="40"/>
            </w:pPr>
            <w:r>
              <w:rPr>
                <w:b/>
                <w:color w:val="003366"/>
                <w:sz w:val="17"/>
              </w:rPr>
              <w:t>25,00%</w:t>
            </w:r>
          </w:p>
        </w:tc>
        <w:tc>
          <w:tcPr>
            <w:tcW w:w="1584" w:type="dxa"/>
            <w:shd w:val="clear" w:color="auto" w:fill="E6EC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95FF6B" w14:textId="77777777" w:rsidR="00E566AA" w:rsidRDefault="00000000">
            <w:pPr>
              <w:spacing w:after="40"/>
            </w:pPr>
            <w:r>
              <w:rPr>
                <w:b/>
                <w:color w:val="003366"/>
                <w:sz w:val="17"/>
              </w:rPr>
              <w:t>R$ 1.005.726,92</w:t>
            </w:r>
          </w:p>
        </w:tc>
        <w:tc>
          <w:tcPr>
            <w:tcW w:w="1152" w:type="dxa"/>
            <w:shd w:val="clear" w:color="auto" w:fill="E6EC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7483EA" w14:textId="77777777" w:rsidR="00E566AA" w:rsidRDefault="00000000">
            <w:pPr>
              <w:spacing w:after="40"/>
            </w:pPr>
            <w:r>
              <w:rPr>
                <w:b/>
                <w:color w:val="003366"/>
                <w:sz w:val="17"/>
              </w:rPr>
              <w:t>100%</w:t>
            </w:r>
          </w:p>
        </w:tc>
      </w:tr>
    </w:tbl>
    <w:p w14:paraId="2E38F966" w14:textId="77777777" w:rsidR="00E566AA" w:rsidRDefault="00000000">
      <w:pPr>
        <w:spacing w:before="280"/>
      </w:pPr>
      <w:r>
        <w:rPr>
          <w:b/>
          <w:color w:val="003366"/>
          <w:sz w:val="25"/>
        </w:rPr>
        <w:t>IV. CONCLUSÃO E ENCAMINHAMENTO</w:t>
      </w:r>
    </w:p>
    <w:p w14:paraId="5AC4834A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25. Diante do exposto, resta demonstrado o pleno atendimento e saneamento de todas as recomendações de Engenharia, Arquitetura e Orçamentação insertas no Parecer nº 01199/2026/CJENG-EST-SUMARIO/SCGP/CGU/AGU.</w:t>
      </w:r>
    </w:p>
    <w:p w14:paraId="3FED816E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>26. O processo encontra-se técnica e juridicamente apto para deliberação superior e regular prosseguimento das etapas do certame licitatório.</w:t>
      </w:r>
    </w:p>
    <w:p w14:paraId="158B20BF" w14:textId="77777777" w:rsidR="00E566AA" w:rsidRPr="00B4731D" w:rsidRDefault="00000000">
      <w:pPr>
        <w:rPr>
          <w:lang w:val="pt-BR"/>
        </w:rPr>
      </w:pPr>
      <w:r w:rsidRPr="00B4731D">
        <w:rPr>
          <w:lang w:val="pt-BR"/>
        </w:rPr>
        <w:t xml:space="preserve">27. Encaminhe-se o presente despacho, acompanhado dos cadernos técnicos anexos, à Superintendência Regional de Administração no Estado do Espírito Santo (SRA/MGI-ES) para </w:t>
      </w:r>
      <w:r w:rsidRPr="00B4731D">
        <w:rPr>
          <w:lang w:val="pt-BR"/>
        </w:rPr>
        <w:lastRenderedPageBreak/>
        <w:t>conhecimento, aprovação e posterior remessa à Equipe de Licitações e Contratos para as providências de publicação do Edital.</w:t>
      </w:r>
    </w:p>
    <w:p w14:paraId="1573F351" w14:textId="77777777" w:rsidR="00E566AA" w:rsidRPr="00B4731D" w:rsidRDefault="00000000">
      <w:pPr>
        <w:spacing w:before="280" w:after="400"/>
        <w:rPr>
          <w:lang w:val="pt-BR"/>
        </w:rPr>
      </w:pPr>
      <w:r w:rsidRPr="00B4731D">
        <w:rPr>
          <w:i/>
          <w:lang w:val="pt-BR"/>
        </w:rPr>
        <w:t>Vitória/ES, 17 de setembro de 2026.</w:t>
      </w:r>
    </w:p>
    <w:p w14:paraId="1C4A192F" w14:textId="77777777" w:rsidR="00E566AA" w:rsidRPr="00B4731D" w:rsidRDefault="00000000">
      <w:pPr>
        <w:spacing w:after="40"/>
        <w:jc w:val="center"/>
        <w:rPr>
          <w:lang w:val="pt-BR"/>
        </w:rPr>
      </w:pPr>
      <w:r w:rsidRPr="00B4731D">
        <w:rPr>
          <w:i/>
          <w:color w:val="666666"/>
          <w:sz w:val="19"/>
          <w:lang w:val="pt-BR"/>
        </w:rPr>
        <w:t>(assinado eletronicamente)</w:t>
      </w:r>
      <w:r w:rsidRPr="00B4731D">
        <w:rPr>
          <w:i/>
          <w:color w:val="666666"/>
          <w:sz w:val="19"/>
          <w:lang w:val="pt-BR"/>
        </w:rPr>
        <w:br/>
      </w:r>
      <w:r w:rsidRPr="00B4731D">
        <w:rPr>
          <w:b/>
          <w:lang w:val="pt-BR"/>
        </w:rPr>
        <w:t>LUÍS FERNANDO DIAS</w:t>
      </w:r>
      <w:r w:rsidRPr="00B4731D">
        <w:rPr>
          <w:b/>
          <w:lang w:val="pt-BR"/>
        </w:rPr>
        <w:br/>
      </w:r>
      <w:r w:rsidRPr="00B4731D">
        <w:rPr>
          <w:sz w:val="19"/>
          <w:lang w:val="pt-BR"/>
        </w:rPr>
        <w:t>Engenheiro Civil - Fiscal Técnico</w:t>
      </w:r>
      <w:r w:rsidRPr="00B4731D">
        <w:rPr>
          <w:sz w:val="19"/>
          <w:lang w:val="pt-BR"/>
        </w:rPr>
        <w:br/>
        <w:t>Setor de Engenharia e Infraestrutura</w:t>
      </w:r>
      <w:r w:rsidRPr="00B4731D">
        <w:rPr>
          <w:sz w:val="19"/>
          <w:lang w:val="pt-BR"/>
        </w:rPr>
        <w:br/>
        <w:t>Superintendência Regional de Administração no Espírito Santo (SRA/MGI-ES)</w:t>
      </w:r>
    </w:p>
    <w:sectPr w:rsidR="00E566AA" w:rsidRPr="00B4731D" w:rsidSect="00034616">
      <w:pgSz w:w="12240" w:h="15840"/>
      <w:pgMar w:top="1411" w:right="1411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2286542">
    <w:abstractNumId w:val="8"/>
  </w:num>
  <w:num w:numId="2" w16cid:durableId="703480269">
    <w:abstractNumId w:val="6"/>
  </w:num>
  <w:num w:numId="3" w16cid:durableId="559249966">
    <w:abstractNumId w:val="5"/>
  </w:num>
  <w:num w:numId="4" w16cid:durableId="204759857">
    <w:abstractNumId w:val="4"/>
  </w:num>
  <w:num w:numId="5" w16cid:durableId="1435592003">
    <w:abstractNumId w:val="7"/>
  </w:num>
  <w:num w:numId="6" w16cid:durableId="1610240879">
    <w:abstractNumId w:val="3"/>
  </w:num>
  <w:num w:numId="7" w16cid:durableId="423381784">
    <w:abstractNumId w:val="2"/>
  </w:num>
  <w:num w:numId="8" w16cid:durableId="352801011">
    <w:abstractNumId w:val="1"/>
  </w:num>
  <w:num w:numId="9" w16cid:durableId="57752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9A2"/>
    <w:rsid w:val="0006063C"/>
    <w:rsid w:val="0015074B"/>
    <w:rsid w:val="0029639D"/>
    <w:rsid w:val="00326F90"/>
    <w:rsid w:val="00757B90"/>
    <w:rsid w:val="00AA1D8D"/>
    <w:rsid w:val="00B4731D"/>
    <w:rsid w:val="00B47730"/>
    <w:rsid w:val="00CB0664"/>
    <w:rsid w:val="00D32967"/>
    <w:rsid w:val="00E566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2E00ABF-6EEA-43D0-92DA-6D79C61E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2619</Words>
  <Characters>14143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FERNANDO DIAS</cp:lastModifiedBy>
  <cp:revision>4</cp:revision>
  <dcterms:created xsi:type="dcterms:W3CDTF">2013-12-23T23:15:00Z</dcterms:created>
  <dcterms:modified xsi:type="dcterms:W3CDTF">2026-09-17T13:38:00Z</dcterms:modified>
  <cp:category/>
</cp:coreProperties>
</file>