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MINISTÉRIO DA GESTÃO E DA INOVAÇÃO EM SERVIÇOS PÚBLICOS - MGI</w:t>
        <w:br/>
      </w:r>
      <w:r>
        <w:rPr>
          <w:b/>
          <w:sz w:val="22"/>
        </w:rPr>
        <w:t>SUPERINTENDÊNCIA REGIONAL DE ADMINISTRAÇÃO NO ESTADO DO ESPÍRITO SANTO - SRA/MGI-ES</w:t>
        <w:br/>
      </w:r>
      <w:r>
        <w:rPr>
          <w:color w:val="555555"/>
          <w:sz w:val="20"/>
        </w:rPr>
        <w:t>SETOR DE ENGENHARIA E INFRAESTRUTURA - PROJETO ORCA AI</w:t>
        <w:br/>
      </w:r>
    </w:p>
    <w:p>
      <w:pPr>
        <w:spacing w:before="240" w:after="240"/>
        <w:jc w:val="center"/>
      </w:pPr>
      <w:r>
        <w:rPr>
          <w:b/>
          <w:color w:val="003366"/>
          <w:sz w:val="28"/>
        </w:rPr>
        <w:t>DESPACHO TÉCNICO DE ENGENHARIA Nº 01/2026/ENG-SRA-ES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5"/>
        <w:gridCol w:w="4565"/>
      </w:tblGrid>
      <w:tr>
        <w:tc>
          <w:tcPr>
            <w:tcW w:type="dxa" w:w="259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PROCESSO NUP:</w:t>
            </w:r>
          </w:p>
        </w:tc>
        <w:tc>
          <w:tcPr>
            <w:tcW w:type="dxa" w:w="69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10783.000206/2026-71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REFERÊNCIA:</w:t>
            </w:r>
          </w:p>
        </w:tc>
        <w:tc>
          <w:tcPr>
            <w:tcW w:type="dxa" w:w="69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Parecer Jurídico nº 01199/2026/CJENG-EST-SUMARIO/SCGP/CGU/AGU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ASSUNTO:</w:t>
            </w:r>
          </w:p>
        </w:tc>
        <w:tc>
          <w:tcPr>
            <w:tcW w:type="dxa" w:w="69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Atendimento Integral e Saneamento das Recomendações Técnicas de Engenharia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OBJETO:</w:t>
            </w:r>
          </w:p>
        </w:tc>
        <w:tc>
          <w:tcPr>
            <w:tcW w:type="dxa" w:w="69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Serviços de engenharia e manutenção predial divididos em 11 Itens (Edifício Sede e Anexos)</w:t>
            </w:r>
          </w:p>
        </w:tc>
      </w:tr>
      <w:tr>
        <w:tc>
          <w:tcPr>
            <w:tcW w:type="dxa" w:w="259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DESTINATÁRIO:</w:t>
            </w:r>
          </w:p>
        </w:tc>
        <w:tc>
          <w:tcPr>
            <w:tcW w:type="dxa" w:w="6912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SUPERINTENDÊNCIA REGIONAL DE ADMINISTRAÇÃO NO ESPÍRITO SANTO (SRA/MGI-ES)</w:t>
            </w:r>
          </w:p>
        </w:tc>
      </w:tr>
    </w:tbl>
    <w:p>
      <w:pPr>
        <w:spacing w:before="320" w:after="160"/>
      </w:pPr>
      <w:r>
        <w:rPr>
          <w:b/>
        </w:rPr>
        <w:t>Senhor(a) Superintendente Regional de Administração,</w:t>
      </w:r>
    </w:p>
    <w:p>
      <w:pPr>
        <w:spacing w:after="120" w:line="276" w:lineRule="auto"/>
      </w:pPr>
      <w:r>
        <w:t>1. Submeto a Vossa Senhoria o presente DESPACHO TÉCNICO DE ENGENHARIA, elaborado no âmbito do Projeto Orca AI, com a finalidade de prestar as informações técnicas, fundamentações normativas e comprovações documentais necessárias ao integral saneamento e atendimento às recomendações constantes do Parecer Jurídico nº 01199/2026/CJENG-EST-SUMARIO/SCGP/CGU/AGU, exarado pelo ilustre Advogado da União Dr. Jaildo Peixoto da Silva.</w:t>
      </w:r>
    </w:p>
    <w:p>
      <w:pPr>
        <w:spacing w:after="120" w:line="276" w:lineRule="auto"/>
      </w:pPr>
      <w:r>
        <w:t>2. A douta Consultoria Jurídica da União concluiu pela viabilidade jurídica do prosseguimento do certame licitatório, condicionando-o ao acolhimento das recomendações afetas ao planejamento da contratação e à orçamentação das obras e serviços.</w:t>
      </w:r>
    </w:p>
    <w:p>
      <w:pPr>
        <w:spacing w:after="120" w:line="276" w:lineRule="auto"/>
      </w:pPr>
      <w:r>
        <w:t>3. Passa-se, a seguir, à demonstração pormenorizada de cada providência técnica adotada pelo Setor de Engenharia, consolidando o atendimento cabal aos apontamentos jurídicos, em estrita consonância com a Lei nº 14.133/2021, as Súmulas e Acórdãos do Tribunal de Contas da União (TCU) e os normativos do Governo Federal.</w:t>
      </w:r>
    </w:p>
    <w:p>
      <w:pPr>
        <w:spacing w:before="280" w:after="120"/>
      </w:pPr>
      <w:r>
        <w:rPr>
          <w:b/>
          <w:color w:val="003366"/>
          <w:sz w:val="25"/>
        </w:rPr>
        <w:t>I. QUADRO SINÓTICO DE ATENDIMENTO ÀS RECOMENDAÇÕES DA AGU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1152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 AGU</w:t>
            </w:r>
          </w:p>
        </w:tc>
        <w:tc>
          <w:tcPr>
            <w:tcW w:type="dxa" w:w="2592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Assunto / Recomendação</w:t>
            </w:r>
          </w:p>
        </w:tc>
        <w:tc>
          <w:tcPr>
            <w:tcW w:type="dxa" w:w="144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320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Providência Técnica e Localização no SEI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24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Adoção do IPPC Engenharia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Atestada a estrita observância ao IPPC Engenharia da CGU/AGU em todos os procedimentos. </w:t>
            </w:r>
            <w:hyperlink r:id="rId9">
              <w:r>
                <w:rPr>
                  <w:color w:val="004B87"/>
                  <w:u w:val="single"/>
                  <w:b/>
                </w:rPr>
                <w:t>IPPC Engenharia</w:t>
              </w:r>
            </w:hyperlink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34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Assinatura nos docs de planejamento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Peças técnicas assinadas digitalmente via SEI pela Equipe de Planejamento.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Docs Planejamento]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39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Projeto Básico vs. TR e Acervo de Projetos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Demonstrado o acervo arquitetônico existente (Sede, Anexos, Marquise, Elevadores, Vila Rubim, Calçada Cidadã) e art. 46, § 3º da Lei 14.133/21.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Termo de Referência]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44-45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Obrigações e custos de Projeto Executivo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Custos declarados e absorvidos na Adm. Local/BDI e minuta de cláusula repassada à Licitação.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Despacho Licitação]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48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Declaração de atividades acessórias (Dec. 9.507/18)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Declaração formal anexada aos autos confirmando a natureza acessória predial.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Declaração Dec. 9.507/18]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57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Planilhas Orçamentárias Analíticas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Relatórios analíticos de composições unitárias emitidos via Orçafascio e juntados ao SEI.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Planilhas Analíticas]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58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Hierarquia de preços (SINAPI / cotações)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Justificada a precedência SINAPI Vitória/ES (&gt;85%) e IN SEGES nº 65/2021 para itens especializados.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Dossiê IN 65/2021]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63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Critérios de aceitabilidade de preços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Ratificados os limites unitários e globais com base nas Súmulas TCU nº 258 e 259.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67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Justificativa de BDI pleno (Súmula 253 TCU)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Justificada a indivisibilidade de fornecimento e instalação (Acórdão TCU nº 2.622/13).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Justificativas BDI 25%]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72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Vantajosidade da Desoneração (CPRB)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Demonstrada a vantajosidade em serviços intensivos em mão de obra (Lei 14.973/24).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73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Curva ABC de Serviços e Insumos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Curva ABC expressa na coluna 'Peso %' do Orçafascio e relatório autônomo consolidado juntado.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Curva ABC]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74-76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Cronograma físico-financeiro por demanda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Cronogramas estruturados com prazos individualizados por Ordem de Serviço (OS).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Cronogramas]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79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Regularização das ARTs / RRTs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ART definitiva registrada e quitada no CREA-ES anexada ao processo SEI. </w:t>
            </w:r>
            <w:hyperlink r:id="rId10">
              <w:r>
                <w:rPr>
                  <w:color w:val="004B87"/>
                  <w:u w:val="single"/>
                  <w:b/>
                </w:rPr>
                <w:t>ART Definitiva SEI 70840225</w:t>
              </w:r>
            </w:hyperlink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92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Empreitada por Preço Global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Justificativa fundamentada na precisão métrica do acervo arquitetônico e planilhas.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TJTR Campo 2]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97-98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Matriz de Riscos (Acórdão 1.977/13 TCU)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Matriz de riscos com limite de tolerância de 10% (Dec. 7.983/13) formalizada.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Matriz de Riscos]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103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Sistema de Registro de Preços (SRP)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Justificada a conveniência para atendimento preventivo e corretivo sob demanda.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Justificativa SRP no TR] </w:t>
            </w:r>
          </w:p>
        </w:tc>
      </w:tr>
      <w:tr>
        <w:tc>
          <w:tcPr>
            <w:tcW w:type="dxa" w:w="115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110</w:t>
            </w:r>
          </w:p>
        </w:tc>
        <w:tc>
          <w:tcPr>
            <w:tcW w:type="dxa" w:w="2592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Harmonização da Vistoria Técnica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type="dxa" w:w="4320"/>
            <w:shd w:fill="F9FBFD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Vistoria facultativa com exigência de Declaração de Pleno Conhecimento. 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§ 120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>Previsão orçamentária e LRF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006622"/>
                <w:sz w:val="17"/>
              </w:rPr>
              <w:t>ENCAMINHADO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Atesto orçamentário encaminhado para certificação contábil. </w:t>
            </w:r>
            <w:r>
              <w:rPr>
                <w:b/>
                <w:color w:val="992211"/>
                <w:sz w:val="17"/>
                <w:highlight w:val="yellow"/>
              </w:rPr>
              <w:t xml:space="preserve"> [LINK SEI: Atesto Orçamentário] </w:t>
            </w:r>
          </w:p>
        </w:tc>
      </w:tr>
    </w:tbl>
    <w:p>
      <w:pPr>
        <w:spacing w:before="280" w:after="120"/>
      </w:pPr>
      <w:r>
        <w:rPr>
          <w:b/>
          <w:color w:val="003366"/>
          <w:sz w:val="25"/>
        </w:rPr>
        <w:t>II. MANIFESTAÇÃO E SANEAMENTO PORMENORIZADO</w:t>
      </w:r>
    </w:p>
    <w:p>
      <w:pPr>
        <w:spacing w:before="200" w:after="80"/>
      </w:pPr>
      <w:r>
        <w:rPr>
          <w:b/>
          <w:color w:val="224466"/>
          <w:sz w:val="22"/>
        </w:rPr>
        <w:t>1. Quanto ao Instrumento de Padronização - IPPC Engenharia (§ 24)</w:t>
      </w:r>
    </w:p>
    <w:p>
      <w:pPr>
        <w:spacing w:after="120" w:line="276" w:lineRule="auto"/>
      </w:pPr>
      <w:r>
        <w:t xml:space="preserve">4. Atesta-se que a presente instrução processual observou integralmente as diretrizes, fluxos e modelos padronizados constantes do </w:t>
      </w:r>
      <w:hyperlink r:id="rId9">
        <w:r>
          <w:rPr>
            <w:color w:val="004B87"/>
            <w:u w:val="single"/>
            <w:b/>
          </w:rPr>
          <w:t>IPPC Engenharia</w:t>
        </w:r>
      </w:hyperlink>
      <w:r>
        <w:t xml:space="preserve"> (Instrumento de Padronização dos Procedimentos de Contratação de Obras e Serviços de Engenharia da CGU/AGU), conferindo uniformidade, celeridade e segurança jurídica à licitação.</w:t>
      </w:r>
    </w:p>
    <w:p>
      <w:pPr>
        <w:spacing w:before="200" w:after="80"/>
      </w:pPr>
      <w:r>
        <w:rPr>
          <w:b/>
          <w:color w:val="224466"/>
          <w:sz w:val="22"/>
        </w:rPr>
        <w:t>2. Quanto ao Projeto Básico, Acervo Técnico e Suficiência do Termo de Referência (§ 39)</w:t>
      </w:r>
    </w:p>
    <w:p>
      <w:pPr>
        <w:spacing w:after="120" w:line="276" w:lineRule="auto"/>
      </w:pPr>
      <w:r>
        <w:t>5. No tocante à ausência de peça isolada denominada 'Projeto Básico', este responsável técnico atesta formalmente que a Administração possui acervo técnico e arquitetônico completo e consolidado, o qual serviu de base absoluta para o levantamento métrico rigoroso e a identificação de todas as intervenções físicas previstas nos 11 itens:</w:t>
      </w:r>
    </w:p>
    <w:p>
      <w:pPr>
        <w:spacing w:after="120" w:line="276" w:lineRule="auto"/>
      </w:pPr>
      <w:r>
        <w:t>• Projeto Arquitetônico do Edifício Sede do MGI-ES e Anexo (plantas baixas, cortes, elevações e fachadas completas em formato CAD DWG e PDF)</w:t>
      </w:r>
      <w:r>
        <w:rPr>
          <w:b/>
          <w:color w:val="992211"/>
          <w:sz w:val="17"/>
          <w:highlight w:val="yellow"/>
        </w:rPr>
        <w:t xml:space="preserve"> [LINK SEI / ARQUIVO: Projeto Sede e Anexo] </w:t>
      </w:r>
    </w:p>
    <w:p>
      <w:pPr>
        <w:spacing w:after="120" w:line="276" w:lineRule="auto"/>
      </w:pPr>
      <w:r>
        <w:t>• Projeto da Calçada Cidadã (especificações de passeios públicos, drenagem perimetral e rampas de acessibilidade universal - NBR 9050)</w:t>
      </w:r>
      <w:r>
        <w:rPr>
          <w:b/>
          <w:color w:val="992211"/>
          <w:sz w:val="17"/>
          <w:highlight w:val="yellow"/>
        </w:rPr>
        <w:t xml:space="preserve"> [LINK SEI / ARQUIVO: Projeto Calçada Cidadã] </w:t>
      </w:r>
    </w:p>
    <w:p>
      <w:pPr>
        <w:spacing w:after="120" w:line="276" w:lineRule="auto"/>
      </w:pPr>
      <w:r>
        <w:t>• Projeto do Estacionamento da Princesa Isabel (demarcação e pavimentação)</w:t>
      </w:r>
      <w:r>
        <w:rPr>
          <w:b/>
          <w:color w:val="992211"/>
          <w:sz w:val="17"/>
          <w:highlight w:val="yellow"/>
        </w:rPr>
        <w:t xml:space="preserve"> [LINK SEI / ARQUIVO: Projeto Estacionamento Princesa Isabel] </w:t>
      </w:r>
    </w:p>
    <w:p>
      <w:pPr>
        <w:spacing w:after="120" w:line="276" w:lineRule="auto"/>
      </w:pPr>
      <w:r>
        <w:t>• Projeto e Planta do Anexo da Vila Rubim</w:t>
      </w:r>
      <w:r>
        <w:rPr>
          <w:b/>
          <w:color w:val="992211"/>
          <w:sz w:val="17"/>
          <w:highlight w:val="yellow"/>
        </w:rPr>
        <w:t xml:space="preserve"> [LINK SEI / ARQUIVO: Planta Anexo Vila Rubim] </w:t>
      </w:r>
    </w:p>
    <w:p>
      <w:pPr>
        <w:spacing w:after="120" w:line="276" w:lineRule="auto"/>
      </w:pPr>
      <w:r>
        <w:t>• Projetos Executivos em CAD (DWG) da Reforma e Recuperação da Marquise (Item 11)</w:t>
      </w:r>
      <w:r>
        <w:rPr>
          <w:b/>
          <w:color w:val="992211"/>
          <w:sz w:val="17"/>
          <w:highlight w:val="yellow"/>
        </w:rPr>
        <w:t xml:space="preserve"> [LINK SEI / ARQUIVO: Projeto Marquise CAD] </w:t>
      </w:r>
    </w:p>
    <w:p>
      <w:pPr>
        <w:spacing w:after="120" w:line="276" w:lineRule="auto"/>
      </w:pPr>
      <w:r>
        <w:t>• Projeto Básico Específico dos Elevadores do MGI-ES (Item 01)</w:t>
      </w:r>
      <w:r>
        <w:rPr>
          <w:b/>
          <w:color w:val="992211"/>
          <w:sz w:val="17"/>
          <w:highlight w:val="yellow"/>
        </w:rPr>
        <w:t xml:space="preserve"> [LINK SEI / ARQUIVO: Projeto Básico Elevadores] </w:t>
      </w:r>
    </w:p>
    <w:p>
      <w:pPr>
        <w:spacing w:after="120" w:line="276" w:lineRule="auto"/>
      </w:pPr>
      <w:r>
        <w:t xml:space="preserve">6. Esse conjunto documental contempla integralmente a estrutura arquitetônica do edifício sede e de seus anexos operacionais. Nesse esteio, com fulcro no art. 46, § 3º, da Lei nº 14.133/2021, demonstrada a inexistência de qualquer prejuízo para a aferição dos padrões de desempenho e qualidade almejados em serviços comuns de engenharia, a especificação técnica foi devidamente concentrada no Termo de Referência </w:t>
      </w:r>
      <w:r>
        <w:rPr>
          <w:b/>
          <w:color w:val="992211"/>
          <w:sz w:val="17"/>
          <w:highlight w:val="yellow"/>
        </w:rPr>
        <w:t xml:space="preserve"> [LINK SEI: Termo de Referência] </w:t>
      </w:r>
      <w:r>
        <w:t xml:space="preserve"> e nos Cadernos de Especificações Técnicas dos 11 Itens </w:t>
      </w:r>
      <w:r>
        <w:rPr>
          <w:b/>
          <w:color w:val="992211"/>
          <w:sz w:val="17"/>
          <w:highlight w:val="yellow"/>
        </w:rPr>
        <w:t xml:space="preserve"> [LINK SEI: Especificações Técnicas 11 Itens] </w:t>
      </w:r>
      <w:r>
        <w:t>, suprindo com ampla suficiência todos os requisitos substantivos do art. 6º, inciso XXV, da referida Lei.</w:t>
      </w:r>
    </w:p>
    <w:p>
      <w:pPr>
        <w:spacing w:before="200" w:after="80"/>
      </w:pPr>
      <w:r>
        <w:rPr>
          <w:b/>
          <w:color w:val="224466"/>
          <w:sz w:val="22"/>
        </w:rPr>
        <w:t>3. Quanto à Elaboração de Detalhamentos Executivos pela Contratada (§ 44 e § 45)</w:t>
      </w:r>
    </w:p>
    <w:p>
      <w:pPr>
        <w:spacing w:after="120" w:line="276" w:lineRule="auto"/>
      </w:pPr>
      <w:r>
        <w:t>7. Com fundamento no art. 46, § 1º, e no art. 6º, inciso XXVI, da Lei nº 14.133/2021, caberá à futura CONTRATADA elaborar todos os detalhamentos executivos complementares necessários à adequada execução dos serviços, incluindo, sem limitação: projetos de instalação e operação de canteiro, detalhamento de pontos de ancoragem para trabalho em altura (NR-35), planos de montagem de andaimes suspensos e balancins, procedimentos executivos de impermeabilização/selagem e demais peças técnicas de campo exigíveis para a perfeita execução do objeto.</w:t>
      </w:r>
    </w:p>
    <w:p>
      <w:pPr>
        <w:spacing w:after="120" w:line="276" w:lineRule="auto"/>
      </w:pPr>
      <w:r>
        <w:t>8. Declaração Formal de Custos: Este Engenheiro Fiscal DECLARA FORMALMENTE que os custos decorrentes da elaboração dessas peças técnicas complementares encontram-se rigorosamente incluídos nos preços contratados, absorvidos pelos encargos de Administração Local e pela taxa de Bonificações e Despesas Indiretas (BDI - Administração Central/Custos Indiretos), não sendo devido qualquer pagamento adicional a este título.</w:t>
      </w:r>
    </w:p>
    <w:p>
      <w:pPr>
        <w:spacing w:after="120" w:line="276" w:lineRule="auto"/>
      </w:pPr>
      <w:r>
        <w:t xml:space="preserve">9. A minuta de cláusula para incorporação no Termo de Referência e na Minuta de Contrato já foi formalmente encaminhada à Equipe de Licitações por meio do Despacho nº 01/2026/ENG-SRA-ES </w:t>
      </w:r>
      <w:r>
        <w:rPr>
          <w:b/>
          <w:color w:val="992211"/>
          <w:sz w:val="17"/>
          <w:highlight w:val="yellow"/>
        </w:rPr>
        <w:t xml:space="preserve"> [LINK SEI: Despacho Alinhamento TR e Contrato] </w:t>
      </w:r>
      <w:r>
        <w:t>.</w:t>
      </w:r>
    </w:p>
    <w:p>
      <w:pPr>
        <w:spacing w:before="200" w:after="80"/>
      </w:pPr>
      <w:r>
        <w:rPr>
          <w:b/>
          <w:color w:val="224466"/>
          <w:sz w:val="22"/>
        </w:rPr>
        <w:t>4. Quanto às Planilhas Orçamentárias Analíticas (§ 57)</w:t>
      </w:r>
    </w:p>
    <w:p>
      <w:pPr>
        <w:spacing w:after="120" w:line="276" w:lineRule="auto"/>
      </w:pPr>
      <w:r>
        <w:t xml:space="preserve">10. Em estrito cumprimento à Súmula TCU nº 258/2010, a Engenharia emitiu diretamente da plataforma Orçafascio os cadernos completos de Composições Analíticas de Custos Unitários referentes aos 11 itens da contratação, procedendo à juntada formal aos autos do processo SEI </w:t>
      </w:r>
      <w:r>
        <w:rPr>
          <w:b/>
          <w:color w:val="992211"/>
          <w:sz w:val="17"/>
          <w:highlight w:val="yellow"/>
        </w:rPr>
        <w:t xml:space="preserve"> [LINK SEI: Caderno de Planilhas Analíticas] </w:t>
      </w:r>
      <w:r>
        <w:t>. Todas as composições encontram-se plenamente abertas, discriminando coeficientes de produtividade, insumos de mão de obra e materiais, equipamentos e os respectivos encargos sociais cabíveis, inexistindo qualquer emprego de verba genérica.</w:t>
      </w:r>
    </w:p>
    <w:p>
      <w:pPr>
        <w:spacing w:before="200" w:after="80"/>
      </w:pPr>
      <w:r>
        <w:rPr>
          <w:b/>
          <w:color w:val="224466"/>
          <w:sz w:val="22"/>
        </w:rPr>
        <w:t>5. Quanto à Hierarquia de Preços e Suficiência do SINAPI (§ 58)</w:t>
      </w:r>
    </w:p>
    <w:p>
      <w:pPr>
        <w:spacing w:after="120" w:line="276" w:lineRule="auto"/>
      </w:pPr>
      <w:r>
        <w:t>11. A orçamentação seguiu com absoluto rigor a ordem de precedência estabelecida no art. 23, § 2º, da Lei nº 14.133/2021:</w:t>
      </w:r>
    </w:p>
    <w:p>
      <w:pPr>
        <w:spacing w:after="120" w:line="276" w:lineRule="auto"/>
      </w:pPr>
      <w:r>
        <w:t>• Prioridade Legal (SINAPI Vitória/ES e IOPES): Mais de 85% dos serviços orçados foram extraídos diretamente do SINAPI Desonerado da localidade de Vitória/ES, complementados subsidiariamente pela tabela do IOPES (Instituto de Obras Públicas do Espírito Santo), a qual espelha fielmente o mercado regional da construção civil.</w:t>
      </w:r>
    </w:p>
    <w:p>
      <w:pPr>
        <w:spacing w:after="120" w:line="276" w:lineRule="auto"/>
      </w:pPr>
      <w:r>
        <w:t>• Serviços Especializados (IN SEGES/ME nº 65/2021): O sistema SINAPI mostrou-se comprovadamente insuficiente apenas para serviços que envolvem tecnologia proprietária ou alta especialização predial não contemplada no catálogo da CEF, a saber: Item 02 (Limpeza Robotizada de Dutos sob a NBR 14679); Item 06 (Película Solar de controle térmico); e Item 10 (Manutenção de grupo gerador e cubículo blindado de subestação).</w:t>
      </w:r>
    </w:p>
    <w:p>
      <w:pPr>
        <w:spacing w:after="120" w:line="276" w:lineRule="auto"/>
      </w:pPr>
      <w:r>
        <w:t xml:space="preserve">12. Para esses itens, foram elaboradas pesquisas de preços balizadas nos moldes da IN 65/2021, colhendo propostas comerciais de empresas especializadas locais da Grande Vitória e consultas ao Painel de Preços, adotando-se a mediana/menor preço saneado, conforme dossiê comprobatório anexado ao processo </w:t>
      </w:r>
      <w:r>
        <w:rPr>
          <w:b/>
          <w:color w:val="992211"/>
          <w:sz w:val="17"/>
          <w:highlight w:val="yellow"/>
        </w:rPr>
        <w:t xml:space="preserve"> [LINK SEI: Pesquisa de Preços IN 65/2021] </w:t>
      </w:r>
      <w:r>
        <w:t>.</w:t>
      </w:r>
    </w:p>
    <w:p>
      <w:pPr>
        <w:spacing w:before="200" w:after="80"/>
      </w:pPr>
      <w:r>
        <w:rPr>
          <w:b/>
          <w:color w:val="224466"/>
          <w:sz w:val="22"/>
        </w:rPr>
        <w:t>6. Quanto aos Critérios de Aceitabilidade de Preços Unitários e Globais (§ 63)</w:t>
      </w:r>
    </w:p>
    <w:p>
      <w:pPr>
        <w:spacing w:after="120" w:line="276" w:lineRule="auto"/>
      </w:pPr>
      <w:r>
        <w:t>13. Ratifica-se que os preços unitários constantes da planilha orçamentária referencial representam os limites máximos aceitáveis para julgamento das propostas das licitantes, contemplando tanto a análise do valor global quanto o controle unitário de cada serviço, dando cumprimento às Súmulas TCU nº 258 e 259.</w:t>
      </w:r>
    </w:p>
    <w:p>
      <w:pPr>
        <w:spacing w:before="200" w:after="80"/>
      </w:pPr>
      <w:r>
        <w:rPr>
          <w:b/>
          <w:color w:val="224466"/>
          <w:sz w:val="22"/>
        </w:rPr>
        <w:t>7. Quanto à Inaplicabilidade de BDI Diferenciado para Fornecimento (§ 65 - 67 / Súmula TCU 253)</w:t>
      </w:r>
    </w:p>
    <w:p>
      <w:pPr>
        <w:spacing w:after="120" w:line="276" w:lineRule="auto"/>
      </w:pPr>
      <w:r>
        <w:t>14. A incidência da Súmula TCU nº 253 restringe-se ao fornecimento autônomo de equipamentos ou materiais que representem percentual expressivo da obra e que possam ser parcelados sem prejuízo técnico à execução. No presente caso, não há fornecimento isolado de bens de capital (não há compra de chillers, elevadores novos ou subestação nova).</w:t>
      </w:r>
    </w:p>
    <w:p>
      <w:pPr>
        <w:spacing w:after="120" w:line="276" w:lineRule="auto"/>
      </w:pPr>
      <w:r>
        <w:t xml:space="preserve">15. Todos os materiais orçados (chapas metálicas galvanizadas, tintas epóxi, mastiques de poliuretano, argamassas poliméricas, películas e peças sobressalentes de gerador) constituem insumos intrínsecos e indivisíveis dos serviços de empreitada de conservação, cuja aplicação, descarte, transporte e garantia legal são personalíssimos da contratada. Fracionar tais fornecimentos implicaria grave insegurança técnica e perda de garantia por vício de montagem. Logo, o BDI de 25,00% (calibrado dentro dos limites do Acórdão TCU nº 2.622/2013-Plenário) incide legitimamente sobre o valor global dos serviços, conforme detalhado nas Justificativas Técnicas de BDI </w:t>
      </w:r>
      <w:r>
        <w:rPr>
          <w:b/>
          <w:color w:val="992211"/>
          <w:sz w:val="17"/>
          <w:highlight w:val="yellow"/>
        </w:rPr>
        <w:t xml:space="preserve"> [LINK SEI: Justificativas de BDI 25%] </w:t>
      </w:r>
      <w:r>
        <w:t>.</w:t>
      </w:r>
    </w:p>
    <w:p>
      <w:pPr>
        <w:spacing w:before="200" w:after="80"/>
      </w:pPr>
      <w:r>
        <w:rPr>
          <w:b/>
          <w:color w:val="224466"/>
          <w:sz w:val="22"/>
        </w:rPr>
        <w:t>8. Quanto à Demonstração de Vantajosidade do Regime Desonerado (§ 68 - 72)</w:t>
      </w:r>
    </w:p>
    <w:p>
      <w:pPr>
        <w:spacing w:after="120" w:line="276" w:lineRule="auto"/>
      </w:pPr>
      <w:r>
        <w:t>16. Em observância à Lei nº 12.546/2011 e ao regime de transição instituído pela Lei nº 14.973/2024, atesta-se que a opção pelo regime DESONERADO é tecnicamente a mais econômica para o erário público.</w:t>
      </w:r>
    </w:p>
    <w:p>
      <w:pPr>
        <w:spacing w:after="120" w:line="276" w:lineRule="auto"/>
      </w:pPr>
      <w:r>
        <w:t>17. Tratando-se de serviços de engenharia predial com intensiva utilização de mão de obra (pintura externa, raspagem, recuperação de juntas, lavagem de fachadas e impermeabilização), a expressiva redução das alíquotas de encargos sociais sobre a folha básica no SINAPI resulta em expressiva economia no custo direto, a qual supera amplamente a incidência compensatória da alíquota de 4,5% da CPRB alocada na fórmula de BDI. O regime desonerado entrega, assim, um preço de referência global menor para a Administração.</w:t>
      </w:r>
    </w:p>
    <w:p>
      <w:pPr>
        <w:spacing w:before="200" w:after="80"/>
      </w:pPr>
      <w:r>
        <w:rPr>
          <w:b/>
          <w:color w:val="224466"/>
          <w:sz w:val="22"/>
        </w:rPr>
        <w:t>9. Quanto à Apresentação da Curva ABC de Serviços e Insumos (§ 73)</w:t>
      </w:r>
    </w:p>
    <w:p>
      <w:pPr>
        <w:spacing w:after="120" w:line="276" w:lineRule="auto"/>
      </w:pPr>
      <w:r>
        <w:t>18. Registra-se que, nos relatórios orçamentários nativos extraídos da plataforma Orçafascio, a Curva ABC já se encontra plenamente expressa e implícita na coluna 'Peso %', a qual individualiza a representatividade percentual de cada item no custo total.</w:t>
      </w:r>
    </w:p>
    <w:p>
      <w:pPr>
        <w:spacing w:after="120" w:line="276" w:lineRule="auto"/>
      </w:pPr>
      <w:r>
        <w:t xml:space="preserve">19. Sem prejuízo disso, em atenção à recomendação da AGU, foi processado e encartado aos autos o Relatório Técnico de Curva ABC Consolidada dos 11 Itens </w:t>
      </w:r>
      <w:r>
        <w:rPr>
          <w:b/>
          <w:color w:val="992211"/>
          <w:sz w:val="17"/>
          <w:highlight w:val="yellow"/>
        </w:rPr>
        <w:t xml:space="preserve"> [LINK SEI: Relatório de Curva ABC Consolidada] </w:t>
      </w:r>
      <w:r>
        <w:t>, comprovando que os itens de Classe A (Item 07 - Pintura Externa, Item 06 - Insulfilm, Item 11 - Marquise e Item 03 - Lavagem Envidraçada) concentram 74,45% da materialidade global (R$ 748.835,81), permitindo o direcionamento rigoroso da fiscalização sobre as fases financeiramente críticas.</w:t>
      </w:r>
    </w:p>
    <w:p>
      <w:pPr>
        <w:spacing w:before="200" w:after="80"/>
      </w:pPr>
      <w:r>
        <w:rPr>
          <w:b/>
          <w:color w:val="224466"/>
          <w:sz w:val="22"/>
        </w:rPr>
        <w:t>10. Quanto à Regularização da ART Definitiva (§ 79)</w:t>
      </w:r>
    </w:p>
    <w:p>
      <w:pPr>
        <w:spacing w:after="120" w:line="276" w:lineRule="auto"/>
      </w:pPr>
      <w:r>
        <w:t xml:space="preserve">20. Em cumprimento à Súmula TCU nº 260, este responsável técnico providenciou a substituição da minuta preliminar pela </w:t>
      </w:r>
      <w:hyperlink r:id="rId10">
        <w:r>
          <w:rPr>
            <w:color w:val="004B87"/>
            <w:u w:val="single"/>
            <w:b/>
          </w:rPr>
          <w:t>ART definitiva</w:t>
        </w:r>
      </w:hyperlink>
      <w:r>
        <w:t xml:space="preserve"> (registrada e quitada no CREA-ES e encartada no SEI sob o Documento nº 70840225), com seu respectivo comprovante bancário acostado aos autos, contemplando a responsabilidade técnica formal por todos os projetos, especificações, orçamentos e cronogramas dos 11 itens licitados.</w:t>
      </w:r>
    </w:p>
    <w:p>
      <w:pPr>
        <w:spacing w:before="200" w:after="80"/>
      </w:pPr>
      <w:r>
        <w:rPr>
          <w:b/>
          <w:color w:val="224466"/>
          <w:sz w:val="22"/>
        </w:rPr>
        <w:t>11. Quanto à Empreitada por Preço Global e Matriz de Riscos (§ 92, § 97 e § 98)</w:t>
      </w:r>
    </w:p>
    <w:p>
      <w:pPr>
        <w:spacing w:after="120" w:line="276" w:lineRule="auto"/>
      </w:pPr>
      <w:r>
        <w:t xml:space="preserve">21. A escolha pelo regime de Empreitada por Preço Global ampara-se no art. 46 da Lei nº 14.133/2021 e no Acórdão TCU nº 1.977/2013-Plenário, justificada pela exatidão e maturidade do acervo de projetos e das medições físicas in loco consolidadas pelo Orçafascio, conforme lançado no TJTR </w:t>
      </w:r>
      <w:r>
        <w:rPr>
          <w:b/>
          <w:color w:val="992211"/>
          <w:sz w:val="17"/>
          <w:highlight w:val="yellow"/>
        </w:rPr>
        <w:t xml:space="preserve"> [LINK SEI: Termo de Justificativas Técnicas Relevantes - TJTR] </w:t>
      </w:r>
      <w:r>
        <w:t>.</w:t>
      </w:r>
    </w:p>
    <w:p>
      <w:pPr>
        <w:spacing w:after="120" w:line="276" w:lineRule="auto"/>
      </w:pPr>
      <w:r>
        <w:t xml:space="preserve">22. Em atenção aos §§ 97 e 98, a Administração ACOLHE a recomendação e formaliza nos autos a Matriz de Riscos do Contrato </w:t>
      </w:r>
      <w:r>
        <w:rPr>
          <w:b/>
          <w:color w:val="992211"/>
          <w:sz w:val="17"/>
          <w:highlight w:val="yellow"/>
        </w:rPr>
        <w:t xml:space="preserve"> [LINK SEI: Matriz de Alocação de Riscos] </w:t>
      </w:r>
      <w:r>
        <w:t>, delimitando com segurança:</w:t>
      </w:r>
    </w:p>
    <w:p>
      <w:pPr>
        <w:spacing w:after="120" w:line="276" w:lineRule="auto"/>
      </w:pPr>
      <w:r>
        <w:t>• Mera Imprecisão Ordinária: Variações de até 5% nos quantitativos físicos de itens unitários, ou de até 2% no valor global do contrato, constituem álea ordinária da contratada, sem direito a termo aditivo;</w:t>
      </w:r>
    </w:p>
    <w:p>
      <w:pPr>
        <w:spacing w:after="120" w:line="276" w:lineRule="auto"/>
      </w:pPr>
      <w:r>
        <w:t>• Sub/Superestimativas Relevantes: Revisões contratuais para reequilíbrio econômico-financeiro restringem-se a itens de Classe A da Curva ABC, decorrentes de vícios ocultos comprovadamente imprevisíveis, respeitado o limite máximo regulamentar de tolerância de erros de 10% do valor total do contrato (art. 13, inciso II, do Decreto nº 7.983/2013);</w:t>
      </w:r>
    </w:p>
    <w:p>
      <w:pPr>
        <w:spacing w:after="120" w:line="276" w:lineRule="auto"/>
      </w:pPr>
      <w:r>
        <w:t>• Riscos Climáticos e Segurança: Riscos ordinários de chuvas na Grande Vitória e custos de segurança NR-35 (ancoragens e andaimes) são encargos exclusivos da Contratada, devidamente suportados pelo BDI e Administração Local.</w:t>
      </w:r>
    </w:p>
    <w:p>
      <w:pPr>
        <w:spacing w:before="200" w:after="80"/>
      </w:pPr>
      <w:r>
        <w:rPr>
          <w:b/>
          <w:color w:val="224466"/>
          <w:sz w:val="22"/>
        </w:rPr>
        <w:t>12. Quanto à Harmonização da Vistoria Técnica (§ 110)</w:t>
      </w:r>
    </w:p>
    <w:p>
      <w:pPr>
        <w:spacing w:after="120" w:line="276" w:lineRule="auto"/>
      </w:pPr>
      <w:r>
        <w:t>23. Fica harmonizado no Edital e no Termo de Referência que a vistoria prévia ao local é FACULTATIVA (art. 63, § 2º, Lei 14.133/2021). Caso a licitante opte por não realizá-la, deverá firmar em sua proposta a Declaração Formal de Pleno Conhecimento das condições locais, não podendo alegar desconhecimento posterior para pleitear aditivos.</w:t>
      </w:r>
    </w:p>
    <w:p>
      <w:pPr>
        <w:spacing w:before="280" w:after="120"/>
      </w:pPr>
      <w:r>
        <w:rPr>
          <w:b/>
          <w:color w:val="003366"/>
          <w:sz w:val="25"/>
        </w:rPr>
        <w:t>III. MATRIZ PADRONIZADA DOS 11 ITENS LICITADOS (PROJETO ORCA AI)</w:t>
      </w:r>
    </w:p>
    <w:p>
      <w:pPr>
        <w:spacing w:after="120" w:line="276" w:lineRule="auto"/>
      </w:pPr>
      <w:r>
        <w:t>24. Ratifica-se que todos os 11 projetos integrantes do certame encontram-se instruídos e padronizados com o conjunto documental obrigatório completo: (1) Projeto Básico / Desenhos Arquitetônicos; (2) Especificação Técnica Detalhada; (3) Orçamento Sintético (SINAPI Vitória/ES); (4) Orçamento Analítico; (5) Cronograma Físico-Financeiro; e (6) Planilha de BDI (25,00%):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720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168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Objeto Técnico Especializado</w:t>
            </w:r>
          </w:p>
        </w:tc>
        <w:tc>
          <w:tcPr>
            <w:tcW w:type="dxa" w:w="1296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Base Ref.</w:t>
            </w:r>
          </w:p>
        </w:tc>
        <w:tc>
          <w:tcPr>
            <w:tcW w:type="dxa" w:w="864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BDI</w:t>
            </w:r>
          </w:p>
        </w:tc>
        <w:tc>
          <w:tcPr>
            <w:tcW w:type="dxa" w:w="1440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Valor Estimado</w:t>
            </w:r>
          </w:p>
        </w:tc>
        <w:tc>
          <w:tcPr>
            <w:tcW w:type="dxa" w:w="1008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Curva ABC</w:t>
            </w:r>
          </w:p>
        </w:tc>
        <w:tc>
          <w:tcPr>
            <w:tcW w:type="dxa" w:w="1584"/>
            <w:shd w:fill="00336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Localização SEI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01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Substituição do Teto dos Elevadores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SINAPI/Própria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R$ 32.194,17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B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01 - Elevadores] </w:t>
            </w:r>
          </w:p>
        </w:tc>
      </w:tr>
      <w:tr>
        <w:tc>
          <w:tcPr>
            <w:tcW w:type="dxa" w:w="72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02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Limpeza Robotizada dos Dutos de AC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Pesquisa IN 65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R$ 44.011,83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B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02 - AC] 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03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Lavagem Fachada Envidraçada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SINAPI/IOPES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R$ 94.172,48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A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03 - Fachada] </w:t>
            </w:r>
          </w:p>
        </w:tc>
      </w:tr>
      <w:tr>
        <w:tc>
          <w:tcPr>
            <w:tcW w:type="dxa" w:w="72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04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Tratamento de Juntas de Dilatação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R$ 31.794,07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C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04 - Juntas] 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05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Pintura Anticorrosiva de Grades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R$ 51.398,76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B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05 - Grades] </w:t>
            </w:r>
          </w:p>
        </w:tc>
      </w:tr>
      <w:tr>
        <w:tc>
          <w:tcPr>
            <w:tcW w:type="dxa" w:w="72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06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Substituição de Películas Solares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Pesquisa IN 65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R$ 171.299,50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A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06 - Películas] 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07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Pintura Geral Externa Sede e Garagem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 Vitória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R$ 358.338,32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A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07 - Pintura Externa] </w:t>
            </w:r>
          </w:p>
        </w:tc>
      </w:tr>
      <w:tr>
        <w:tc>
          <w:tcPr>
            <w:tcW w:type="dxa" w:w="72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08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Impermeabilização da Cisterna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R$ 47.508,76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B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08 - Cisterna] 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09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Limpeza de Módulos Fotovoltaicos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SINAPI/IOPES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R$ 27.153,65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C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09 - Fotovoltaica] </w:t>
            </w:r>
          </w:p>
        </w:tc>
      </w:tr>
      <w:tr>
        <w:tc>
          <w:tcPr>
            <w:tcW w:type="dxa" w:w="72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Manutenção de Gerador e Subestação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Cotações IN 65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R$ 22.829,87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C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10 - Gerador/Subestação] </w:t>
            </w:r>
          </w:p>
        </w:tc>
      </w:tr>
      <w:tr>
        <w:tc>
          <w:tcPr>
            <w:tcW w:type="dxa" w:w="72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16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Reforma e Impermeabilização Marquise</w:t>
            </w:r>
          </w:p>
        </w:tc>
        <w:tc>
          <w:tcPr>
            <w:tcW w:type="dxa" w:w="1296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SINAPI</w:t>
            </w:r>
          </w:p>
        </w:tc>
        <w:tc>
          <w:tcPr>
            <w:tcW w:type="dxa" w:w="86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sz w:val="16"/>
              </w:rPr>
              <w:t>25,00%</w:t>
            </w:r>
          </w:p>
        </w:tc>
        <w:tc>
          <w:tcPr>
            <w:tcW w:type="dxa" w:w="1440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R$ 125.025,51</w:t>
            </w:r>
          </w:p>
        </w:tc>
        <w:tc>
          <w:tcPr>
            <w:tcW w:type="dxa" w:w="1008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sz w:val="16"/>
              </w:rPr>
              <w:t>Classe A</w:t>
            </w:r>
          </w:p>
        </w:tc>
        <w:tc>
          <w:tcPr>
            <w:tcW w:type="dxa" w:w="1584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Item 11 - Marquise] </w:t>
            </w:r>
          </w:p>
        </w:tc>
      </w:tr>
      <w:tr>
        <w:tc>
          <w:tcPr>
            <w:tcW w:type="dxa" w:w="720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TOTAL</w:t>
            </w:r>
          </w:p>
        </w:tc>
        <w:tc>
          <w:tcPr>
            <w:tcW w:type="dxa" w:w="3168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VALOR GLOBAL CONSOLIDADO (11 ITENS)</w:t>
            </w:r>
          </w:p>
        </w:tc>
        <w:tc>
          <w:tcPr>
            <w:tcW w:type="dxa" w:w="1296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CONSOLIDADO</w:t>
            </w:r>
          </w:p>
        </w:tc>
        <w:tc>
          <w:tcPr>
            <w:tcW w:type="dxa" w:w="864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25,00%</w:t>
            </w:r>
          </w:p>
        </w:tc>
        <w:tc>
          <w:tcPr>
            <w:tcW w:type="dxa" w:w="1440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R$ 1.005.726,92</w:t>
            </w:r>
          </w:p>
        </w:tc>
        <w:tc>
          <w:tcPr>
            <w:tcW w:type="dxa" w:w="1008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16"/>
              </w:rPr>
              <w:t>100%</w:t>
            </w:r>
          </w:p>
        </w:tc>
        <w:tc>
          <w:tcPr>
            <w:tcW w:type="dxa" w:w="1584"/>
            <w:shd w:fill="E6EC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992211"/>
                <w:sz w:val="17"/>
                <w:highlight w:val="yellow"/>
              </w:rPr>
              <w:t xml:space="preserve"> [LINK SEI: Geral] </w:t>
            </w:r>
          </w:p>
        </w:tc>
      </w:tr>
    </w:tbl>
    <w:p>
      <w:pPr>
        <w:spacing w:before="280" w:after="120"/>
      </w:pPr>
      <w:r>
        <w:rPr>
          <w:b/>
          <w:color w:val="003366"/>
          <w:sz w:val="25"/>
        </w:rPr>
        <w:t>IV. GUIA DE INDEXAÇÃO E MAPEAMENTO DOS LINKS NO SEI</w:t>
      </w:r>
    </w:p>
    <w:p>
      <w:pPr>
        <w:spacing w:after="120" w:line="276" w:lineRule="auto"/>
      </w:pPr>
      <w:r>
        <w:t>Abaixo encontra-se a relação objetiva de todos os pontos demarcados no documento para indexação dos respectivos links de acesso no SEI ou nos repositórios digitais:</w:t>
      </w:r>
    </w:p>
    <w:p>
      <w:pPr>
        <w:spacing w:after="120" w:line="276" w:lineRule="auto"/>
      </w:pPr>
      <w:r>
        <w:t xml:space="preserve">1. IPPC Engenharia: </w:t>
      </w:r>
      <w:hyperlink r:id="rId9">
        <w:r>
          <w:rPr>
            <w:color w:val="004B87"/>
            <w:u w:val="single"/>
            <w:b/>
          </w:rPr>
          <w:t>IPPC Engenharia (Guia AGU)</w:t>
        </w:r>
      </w:hyperlink>
      <w:r>
        <w:t xml:space="preserve"> - Link oficial da AGU indexado.</w:t>
      </w:r>
    </w:p>
    <w:p>
      <w:pPr>
        <w:spacing w:after="120" w:line="276" w:lineRule="auto"/>
      </w:pPr>
      <w:r>
        <w:t xml:space="preserve">2. ART Definitiva Quitada: </w:t>
      </w:r>
      <w:hyperlink r:id="rId10">
        <w:r>
          <w:rPr>
            <w:color w:val="004B87"/>
            <w:u w:val="single"/>
            <w:b/>
          </w:rPr>
          <w:t>ART Definitiva (SEI 70840225)</w:t>
        </w:r>
      </w:hyperlink>
      <w:r>
        <w:t xml:space="preserve"> - Link oficial do SEI 70840225 indexado.</w:t>
      </w:r>
    </w:p>
    <w:p>
      <w:pPr>
        <w:spacing w:after="120" w:line="276" w:lineRule="auto"/>
      </w:pPr>
      <w:r>
        <w:t>3. [LINK SEI: Termo de Referência] -&gt; Inserir endereço SEI do Termo de Referência Consolidado.</w:t>
      </w:r>
    </w:p>
    <w:p>
      <w:pPr>
        <w:spacing w:after="120" w:line="276" w:lineRule="auto"/>
      </w:pPr>
      <w:r>
        <w:t>4. [LINK SEI: Caderno de Planilhas Analíticas] -&gt; Inserir endereço SEI do caderno de composições gerado no Orçafascio.</w:t>
      </w:r>
    </w:p>
    <w:p>
      <w:pPr>
        <w:spacing w:after="120" w:line="276" w:lineRule="auto"/>
      </w:pPr>
      <w:r>
        <w:t>5. [LINK SEI: Relatório de Curva ABC Consolidada] -&gt; Inserir endereço SEI do relatório analítico de Curva ABC.</w:t>
      </w:r>
    </w:p>
    <w:p>
      <w:pPr>
        <w:spacing w:after="120" w:line="276" w:lineRule="auto"/>
      </w:pPr>
      <w:r>
        <w:t>6. [LINK SEI: Termo de Justificativas Técnicas Relevantes - TJTR] -&gt; Inserir endereço SEI do formulário TJTR preenchido e assinado.</w:t>
      </w:r>
    </w:p>
    <w:p>
      <w:pPr>
        <w:spacing w:after="120" w:line="276" w:lineRule="auto"/>
      </w:pPr>
      <w:r>
        <w:t>7. [LINK SEI: Despacho Alinhamento TR e Contrato] -&gt; Inserir endereço SEI do Despacho nº 01/2026 encaminhado à Licitação.</w:t>
      </w:r>
    </w:p>
    <w:p>
      <w:pPr>
        <w:spacing w:after="120" w:line="276" w:lineRule="auto"/>
      </w:pPr>
      <w:r>
        <w:t>8. [LINK SEI: Declaração Dec. 9.507/18] -&gt; Inserir endereço SEI da declaração de serviços materiais acessórios.</w:t>
      </w:r>
    </w:p>
    <w:p>
      <w:pPr>
        <w:spacing w:after="120" w:line="276" w:lineRule="auto"/>
      </w:pPr>
      <w:r>
        <w:t>9. [LINK SEI: Pesquisa de Preços IN 65/2021] -&gt; Inserir endereço SEI das cotações e propostas mercadológicas dos itens 02, 06 e 10.</w:t>
      </w:r>
    </w:p>
    <w:p>
      <w:pPr>
        <w:spacing w:after="120" w:line="276" w:lineRule="auto"/>
      </w:pPr>
      <w:r>
        <w:t>10. [LINK SEI: Matriz de Alocação de Riscos] -&gt; Inserir endereço SEI do documento/anexo de Matriz de Riscos.</w:t>
      </w:r>
    </w:p>
    <w:p>
      <w:pPr>
        <w:spacing w:after="120" w:line="276" w:lineRule="auto"/>
      </w:pPr>
      <w:r>
        <w:t>11. [LINK SEI: Cronogramas Físico-Financeiros] -&gt; Inserir endereço SEI dos cronogramas físicos e financeiros.</w:t>
      </w:r>
    </w:p>
    <w:p>
      <w:pPr>
        <w:spacing w:after="120" w:line="276" w:lineRule="auto"/>
      </w:pPr>
      <w:r>
        <w:t>12. [LINK SEI: Justificativas de BDI 25%] -&gt; Inserir endereço SEI das composições e justificativas técnicas da taxa de BDI.</w:t>
      </w:r>
    </w:p>
    <w:p>
      <w:pPr>
        <w:spacing w:after="120" w:line="276" w:lineRule="auto"/>
      </w:pPr>
      <w:r>
        <w:t>13. [LINK SEI / LOCAL DO ARQUIVO: Acervo de Projetos] -&gt; Inserir endereços SEI ou caminhos de rede das plantas (Sede, Anexos, Calçada Cidadã, Vila Rubim, Marquise CAD, Elevadores).</w:t>
      </w:r>
    </w:p>
    <w:p>
      <w:pPr>
        <w:spacing w:after="120" w:line="276" w:lineRule="auto"/>
      </w:pPr>
      <w:r>
        <w:t>14. [LINK SEI: Atesto Orçamentário / LRF] -&gt; Inserir endereço SEI da declaração orçamentária (§ 120).</w:t>
      </w:r>
    </w:p>
    <w:p>
      <w:pPr>
        <w:spacing w:before="280" w:after="120"/>
      </w:pPr>
      <w:r>
        <w:rPr>
          <w:b/>
          <w:color w:val="003366"/>
          <w:sz w:val="25"/>
        </w:rPr>
        <w:t>V. CONCLUSÃO E ENCAMINHAMENTO</w:t>
      </w:r>
    </w:p>
    <w:p>
      <w:pPr>
        <w:spacing w:after="120" w:line="276" w:lineRule="auto"/>
      </w:pPr>
      <w:r>
        <w:t>25. Diante do exposto, resta demonstrado o pleno atendimento e saneamento de todas as recomendações de Engenharia, Arquitetura e Orçamentação insertas no Parecer nº 01199/2026/CJENG-EST-SUMARIO/SCGP/CGU/AGU.</w:t>
      </w:r>
    </w:p>
    <w:p>
      <w:pPr>
        <w:spacing w:after="120" w:line="276" w:lineRule="auto"/>
      </w:pPr>
      <w:r>
        <w:t>26. O processo encontra-se técnica e juridicamente apto para deliberação superior e regular prosseguimento das etapas do certame licitatório.</w:t>
      </w:r>
    </w:p>
    <w:p>
      <w:pPr>
        <w:spacing w:after="120" w:line="276" w:lineRule="auto"/>
      </w:pPr>
      <w:r>
        <w:t>27. Encaminhe-se o presente despacho, acompanhado dos cadernos técnicos anexos, à Superintendência Regional de Administração no Estado do Espírito Santo (SRA/MGI-ES) para conhecimento, aprovação e posterior remessa à Equipe de Licitações e Contratos para as providências de publicação do Edital.</w:t>
      </w:r>
    </w:p>
    <w:p>
      <w:pPr>
        <w:spacing w:before="280" w:after="400"/>
      </w:pPr>
      <w:r>
        <w:rPr>
          <w:i/>
        </w:rPr>
        <w:t>Vitória/ES, 18 de setembro de 2026.</w:t>
      </w:r>
    </w:p>
    <w:p>
      <w:pPr>
        <w:spacing w:after="40" w:line="276" w:lineRule="auto"/>
        <w:jc w:val="center"/>
      </w:pPr>
      <w:r>
        <w:rPr>
          <w:i/>
          <w:color w:val="666666"/>
          <w:sz w:val="19"/>
        </w:rPr>
        <w:t>(assinado eletronicamente)</w:t>
        <w:br/>
      </w:r>
      <w:r>
        <w:rPr>
          <w:b/>
          <w:sz w:val="22"/>
        </w:rPr>
        <w:t>LUÍS FERNANDO DIAS</w:t>
        <w:br/>
      </w:r>
      <w:r>
        <w:rPr>
          <w:sz w:val="19"/>
        </w:rPr>
        <w:t>Engenheiro Civil - Fiscal Técnico</w:t>
        <w:br/>
        <w:t>Setor de Engenharia e Infraestrutura</w:t>
        <w:br/>
        <w:t>Superintendência Regional de Administração no Espírito Santo (SRA/MGI-ES)</w:t>
      </w:r>
    </w:p>
    <w:sectPr w:rsidR="00FC693F" w:rsidRPr="0006063C" w:rsidSect="00034616">
      <w:pgSz w:w="12240" w:h="15840"/>
      <w:pgMar w:top="1411" w:right="1411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v.br/agu/pt-br/composicao/cgu/cgu/guias/ippc-engenharia.pdf" TargetMode="External"/><Relationship Id="rId10" Type="http://schemas.openxmlformats.org/officeDocument/2006/relationships/hyperlink" Target="https://colaboragov.sei.gov.br/sei/controlador.php?acao=procedimento_trabalhar&amp;id_procedimento=63571105&amp;id_documento=708402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