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MINISTÉRIO DA GESTÃO E DA INOVAÇÃO EM SERVIÇOS PÚBLICOS - MGI</w:t>
        <w:br/>
      </w:r>
      <w:r>
        <w:rPr>
          <w:b/>
          <w:sz w:val="22"/>
        </w:rPr>
        <w:t>SUPERINTENDÊNCIA REGIONAL DE ADMINISTRAÇÃO NO ESTADO DO ESPÍRITO SANTO - SRA/MGI-ES</w:t>
        <w:br/>
      </w:r>
      <w:r>
        <w:rPr>
          <w:sz w:val="20"/>
        </w:rPr>
        <w:t>SETOR DE ENGENHARIA E INFRAESTRUTURA - PROJETO ORCA AI</w:t>
        <w:br/>
        <w:br/>
      </w:r>
    </w:p>
    <w:p>
      <w:pPr>
        <w:jc w:val="center"/>
      </w:pPr>
      <w:r>
        <w:rPr>
          <w:b/>
          <w:color w:val="003366"/>
          <w:sz w:val="26"/>
        </w:rPr>
        <w:t>DECLARAÇÃO DE NATUREZA DO OBJETO E NÃO INERÊNCIA AO PLANO DE CARGOS</w:t>
        <w:br/>
        <w:t>(DECRETO Nº 9.507/2018)</w:t>
      </w:r>
    </w:p>
    <w:p>
      <w:pPr>
        <w:spacing w:before="240" w:after="240"/>
      </w:pPr>
      <w:r>
        <w:rPr>
          <w:b/>
        </w:rPr>
        <w:t>PROCESSO NUP: 10783.000206/2026-71</w:t>
        <w:br/>
      </w:r>
      <w:r>
        <w:rPr>
          <w:b/>
        </w:rPr>
        <w:t>REFERÊNCIA: Parecer Jurídico nº 01199/2026/CJENG-EST-SUMARIO/SCGP/CGU/AGU (Item 48)</w:t>
        <w:br/>
      </w:r>
      <w:r>
        <w:t>OBJETO: Contratação de serviços de engenharia e manutenção predial dividida em 11 Itens para o Edifício Sede do MGI-ES e anexos.</w:t>
      </w:r>
    </w:p>
    <w:p>
      <w:pPr>
        <w:spacing w:after="160" w:line="276" w:lineRule="auto"/>
      </w:pPr>
      <w:r>
        <w:t>O responsável técnico subscritor, na qualidade de Fiscal Técnico de Engenharia da Superintendência Regional de Administração do MGI no Estado do Espírito Santo (SRA/MGI-ES), no uso de suas atribuições regulamentares e em cumprimento à recomendação exarada no item 48 do Parecer nº 01199/2026/CJENG-EST-SUMARIO/SCGP/CGU/AGU, bem como aos Pareceres Referenciais nº 153 e 156/2025/CJENG-BSB/SCGP/CGU/AGU:</w:t>
      </w:r>
    </w:p>
    <w:p>
      <w:pPr>
        <w:spacing w:after="160" w:line="276" w:lineRule="auto"/>
      </w:pPr>
      <w:r>
        <w:t>DECLARA FORMALMENTE, para todos os efeitos de direito e instrução do processo em epígrafe, que:</w:t>
      </w:r>
    </w:p>
    <w:p>
      <w:pPr>
        <w:spacing w:after="160" w:line="276" w:lineRule="auto"/>
      </w:pPr>
      <w:r>
        <w:t>1. Os serviços compreendidos no objeto da contratação (distribuídos nos 11 itens licitados: substituição de teto de elevadores, limpeza robotizada de dutos de AC, lavagem de fachadas envidraçadas, recuperação de juntas de dilatação, pintura de grades perimetrais, instalação de películas solares, pintura geral externa, impermeabilização de cisterna e marquise, higienização de painéis fotovoltaicos e manutenção preventiva/corretiva de subestação e gerador) caracterizam-se estritamente como ATIVIDADES MATERIAIS ACESSÓRIAS, INSTRUMENTAIS E COMPLEMENTARES aos assuntos que constituem área de competência legal deste Ministério, nos precisos termos do art. 3º do Decreto Federal nº 9.507, de 21 de setembro de 2018.</w:t>
      </w:r>
    </w:p>
    <w:p>
      <w:pPr>
        <w:spacing w:after="160" w:line="276" w:lineRule="auto"/>
      </w:pPr>
      <w:r>
        <w:t>2. As aludidas atividades NÃO SÃO INERENTES às categorias funcionais nem constituem atribuições privativas abrangidas pelo plano de cargos e salários do quadro de pessoal permanente deste Órgão, inexistindo em sua estrutura funcional cargos efetivos voltados à execução direta de mão de obra braçal/operacional de conservação, pintura industrial, alpinismo predial ou manutenção eletromecânica pesada, nos moldes exigidos pelo art. 4º, inciso II, do Decreto nº 9.507/2018.</w:t>
      </w:r>
    </w:p>
    <w:p>
      <w:pPr>
        <w:spacing w:after="160" w:line="276" w:lineRule="auto"/>
      </w:pPr>
      <w:r>
        <w:t>3. O objeto destina-se unicamente à conservação física, salubridade, integridade patrimonial e funcionamento predial das instalações públicas federais da SRA/MGI-ES, não envolvendo, em hipótese alguma, transferência de atos decisórios, fiscalização regulatória privativa de Estado ou atividade-fim institucional da Pasta (art. 4º, inciso I, do Decreto nº 9.507/2018).</w:t>
      </w:r>
    </w:p>
    <w:p>
      <w:pPr>
        <w:spacing w:after="160" w:line="276" w:lineRule="auto"/>
      </w:pPr>
      <w:r>
        <w:t>4. A contratação também não configura mero fornecimento de mão de obra (intermediação de mão de obra desvinculada de resultado), mas sim contratação de serviços de engenharia por empreitada para entrega de resultados e padrões técnicos de desempenho perfeitamente mensuráveis, conforme preceitua a Instrução Normativa SEGES/MP nº 05/2017.</w:t>
      </w:r>
    </w:p>
    <w:p>
      <w:pPr>
        <w:spacing w:before="480"/>
        <w:jc w:val="center"/>
      </w:pPr>
      <w:r>
        <w:rPr>
          <w:i/>
        </w:rPr>
        <w:t>Vitória/ES, 18 de setembro de 2026.</w:t>
        <w:br/>
        <w:br/>
        <w:t>(assinado eletronicamente)</w:t>
        <w:br/>
      </w:r>
      <w:r>
        <w:rPr>
          <w:b/>
        </w:rPr>
        <w:t>LUÍS FERNANDO DIAS</w:t>
        <w:br/>
      </w:r>
      <w:r>
        <w:t>Engenheiro Civil - Fiscal Técnico</w:t>
        <w:br/>
        <w:t>Setor de Engenharia e Infraestrutura</w:t>
        <w:br/>
        <w:t>Superintendência Regional de Administração no Espírito Santo (SRA/MGI-ES)</w:t>
      </w:r>
    </w:p>
    <w:sectPr w:rsidR="00FC693F" w:rsidRPr="0006063C"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