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0"/>
        <w:jc w:val="center"/>
      </w:pPr>
      <w:r>
        <w:rPr>
          <w:b/>
          <w:color w:val="003366"/>
          <w:sz w:val="22"/>
        </w:rPr>
        <w:t>MINISTÉRIO DA GESTÃO E DA INOVAÇÃO EM SERVIÇOS PÚBLICOS</w:t>
      </w:r>
    </w:p>
    <w:p>
      <w:pPr>
        <w:spacing w:before="0" w:after="30"/>
        <w:jc w:val="center"/>
      </w:pPr>
      <w:r>
        <w:rPr>
          <w:b w:val="0"/>
          <w:color w:val="2D3748"/>
          <w:sz w:val="20"/>
        </w:rPr>
        <w:t>Secretaria de Serviços Compartilhados</w:t>
      </w:r>
    </w:p>
    <w:p>
      <w:pPr>
        <w:spacing w:before="0" w:after="30"/>
        <w:jc w:val="center"/>
      </w:pPr>
      <w:r>
        <w:rPr>
          <w:b w:val="0"/>
          <w:color w:val="2D3748"/>
          <w:sz w:val="19"/>
        </w:rPr>
        <w:t>Diretoria de Contratações e Unidades Descentralizadas</w:t>
      </w:r>
    </w:p>
    <w:p>
      <w:pPr>
        <w:spacing w:before="0" w:after="30"/>
        <w:jc w:val="center"/>
      </w:pPr>
      <w:r>
        <w:rPr>
          <w:b/>
          <w:color w:val="2D3748"/>
          <w:sz w:val="19"/>
        </w:rPr>
        <w:t>Superintendência Regional de Administração no Estado do Espírito Santo – SRA/MGI-ES</w:t>
      </w:r>
    </w:p>
    <w:p>
      <w:pPr>
        <w:spacing w:before="0" w:after="30"/>
        <w:jc w:val="center"/>
      </w:pPr>
      <w:r>
        <w:rPr>
          <w:b w:val="0"/>
          <w:color w:val="2D3748"/>
          <w:sz w:val="18"/>
        </w:rPr>
        <w:t>Setor de Engenharia e Infraestrutura Predial – Projeto Orca AI</w:t>
      </w:r>
    </w:p>
    <w:p>
      <w:pPr>
        <w:spacing w:before="160" w:after="200"/>
        <w:jc w:val="center"/>
      </w:pPr>
      <w:r>
        <w:rPr>
          <w:b/>
          <w:color w:val="003366"/>
          <w:sz w:val="26"/>
        </w:rPr>
        <w:t>DESPACHO DE ENGENHARIA Nº 01/2026/ENG-SRA-ES</w:t>
        <w:br/>
      </w:r>
      <w:r>
        <w:rPr>
          <w:i/>
          <w:color w:val="2D3748"/>
          <w:sz w:val="19"/>
        </w:rPr>
        <w:t>(Atendimento Integral às Recomendações Técnicas do Parecer AGU – Doc. SEI nº 64490579)</w:t>
      </w:r>
    </w:p>
    <w:p>
      <w:pPr>
        <w:spacing w:line="276" w:lineRule="auto" w:after="60"/>
        <w:jc w:val="both"/>
      </w:pPr>
      <w:r>
        <w:rPr>
          <w:b/>
          <w:color w:val="003366"/>
          <w:sz w:val="19"/>
        </w:rPr>
        <w:t xml:space="preserve">Processo NUP: </w:t>
      </w:r>
      <w:r>
        <w:rPr>
          <w:b/>
          <w:color w:val="1E293B"/>
          <w:sz w:val="19"/>
        </w:rPr>
        <w:t>10783.000206/2026-71</w:t>
      </w:r>
    </w:p>
    <w:p>
      <w:pPr>
        <w:spacing w:line="276" w:lineRule="auto" w:after="60"/>
        <w:jc w:val="both"/>
      </w:pPr>
      <w:r>
        <w:rPr>
          <w:b/>
          <w:color w:val="003366"/>
          <w:sz w:val="19"/>
        </w:rPr>
        <w:t xml:space="preserve">Referência: </w:t>
      </w:r>
      <w:r>
        <w:rPr>
          <w:b w:val="0"/>
          <w:color w:val="1E293B"/>
          <w:sz w:val="19"/>
        </w:rPr>
        <w:t>Parecer Jurídico nº 01199/2026/CJENG-EST-SUMÁRIO/SCGP/CGU/AGU (Doc. SEI nº 64468820)</w:t>
      </w:r>
    </w:p>
    <w:p>
      <w:pPr>
        <w:spacing w:line="276" w:lineRule="auto" w:after="60"/>
        <w:jc w:val="both"/>
      </w:pPr>
      <w:r>
        <w:rPr>
          <w:b/>
          <w:color w:val="003366"/>
          <w:sz w:val="19"/>
        </w:rPr>
        <w:t xml:space="preserve">Assunto: </w:t>
      </w:r>
      <w:r>
        <w:rPr>
          <w:b w:val="0"/>
          <w:color w:val="1E293B"/>
          <w:sz w:val="19"/>
        </w:rPr>
        <w:t>Atendimento Integral e Saneamento das Recomendações Técnicas de Engenharia, Arquitetura e Orçamentação da AGU.</w:t>
      </w:r>
    </w:p>
    <w:p>
      <w:pPr>
        <w:spacing w:line="276" w:lineRule="auto" w:after="60"/>
        <w:jc w:val="both"/>
      </w:pPr>
      <w:r>
        <w:rPr>
          <w:b/>
          <w:color w:val="003366"/>
          <w:sz w:val="19"/>
        </w:rPr>
        <w:t xml:space="preserve">Objeto: </w:t>
      </w:r>
      <w:r>
        <w:rPr>
          <w:b w:val="0"/>
          <w:color w:val="1E293B"/>
          <w:sz w:val="19"/>
        </w:rPr>
        <w:t>Contratação de serviços comuns de engenharia e conservação predial dividida em 11 Itens para o Edifício Sede do MGI-ES e Edifício Anexo em Vitória/ES (Valor Global Estimado: R$ 1.005.726,92).</w:t>
      </w:r>
    </w:p>
    <w:p>
      <w:pPr>
        <w:spacing w:line="276" w:lineRule="auto" w:after="60"/>
        <w:jc w:val="both"/>
      </w:pPr>
      <w:r>
        <w:rPr>
          <w:b/>
          <w:color w:val="003366"/>
          <w:sz w:val="19"/>
        </w:rPr>
        <w:t xml:space="preserve">Para: </w:t>
      </w:r>
      <w:r>
        <w:rPr>
          <w:b w:val="0"/>
          <w:color w:val="1E293B"/>
          <w:sz w:val="19"/>
        </w:rPr>
        <w:t>Superintendência Regional de Administração no Espírito Santo (SRA/MGI-ES)</w:t>
      </w:r>
    </w:p>
    <w:p>
      <w:pPr>
        <w:spacing w:line="276" w:lineRule="auto" w:after="60"/>
        <w:jc w:val="both"/>
      </w:pPr>
      <w:r>
        <w:rPr>
          <w:b/>
          <w:color w:val="003366"/>
          <w:sz w:val="19"/>
        </w:rPr>
        <w:t xml:space="preserve">De: </w:t>
      </w:r>
      <w:r>
        <w:rPr>
          <w:b w:val="0"/>
          <w:color w:val="1E293B"/>
          <w:sz w:val="19"/>
        </w:rPr>
        <w:t>Engenheiro Civil Responsável Técnico / Fiscal de Obras</w:t>
      </w:r>
    </w:p>
    <w:p>
      <w:pPr>
        <w:spacing w:after="80"/>
      </w:pPr>
    </w:p>
    <w:p>
      <w:pPr>
        <w:spacing w:after="120"/>
      </w:pPr>
      <w:r>
        <w:rPr>
          <w:b/>
          <w:sz w:val="21"/>
        </w:rPr>
        <w:t>Senhora Superintendente Regional de Administração,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1. Submeto a Vossa Senhoria o presente DESPACHO TÉCNICO DE ENGENHARIA, elaborado no âmbito do Projeto Orca AI, com a finalidade de consolidar todas as respostas técnicas, justificativas normativas e comprovações documentais necessárias ao integral saneamento das recomendações constantes do Parecer Jurídico nº 01199/2026/CJENG-EST-SUMÁRIO/SCGP/CGU/AGU (Doc. SEI nº 64468820).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2. Registra-se que a douta Consultoria Jurídica da União concluiu pela viabilidade jurídica do prosseguimento do certame, condicionando-o ao acolhimento das recomendações afetas ao planejamento da contratação e à orçamentação das obras e serviços de engenharia.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3. O presente expediente consolida, atualiza e substitui o Despacho de Engenharia preliminar acostado sob o Doc. SEI nº 64490579, fornecendo o mapeamento exato de todos os documentos já encartados nas Pastas I a VII da árvore do processo SEI nº 10783.000206/2026-71.</w:t>
      </w:r>
    </w:p>
    <w:p>
      <w:pPr>
        <w:spacing w:before="220" w:after="100"/>
      </w:pPr>
      <w:r>
        <w:rPr>
          <w:b/>
          <w:color w:val="003366"/>
          <w:sz w:val="22"/>
        </w:rPr>
        <w:t>I. QUADRO SINÓTICO DE ATENDIMENTO ÀS RECOMENDAÇÕES DA AGU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6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tcMar>
              <w:top w:w="50" w:type="dxa"/>
              <w:bottom w:w="50" w:type="dxa"/>
              <w:left w:w="60" w:type="dxa"/>
              <w:right w:w="60" w:type="dxa"/>
            </w:tcMar>
            <w:shd w:fill="003366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Item AGU</w:t>
            </w:r>
          </w:p>
        </w:tc>
        <w:tc>
          <w:tcPr>
            <w:tcW w:type="dxa" w:w="2880"/>
            <w:tcMar>
              <w:top w:w="50" w:type="dxa"/>
              <w:bottom w:w="50" w:type="dxa"/>
              <w:left w:w="60" w:type="dxa"/>
              <w:right w:w="60" w:type="dxa"/>
            </w:tcMar>
            <w:shd w:fill="003366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Assunto / Recomendação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shd w:fill="003366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Situação</w:t>
            </w:r>
          </w:p>
        </w:tc>
        <w:tc>
          <w:tcPr>
            <w:tcW w:type="dxa" w:w="4320"/>
            <w:tcMar>
              <w:top w:w="50" w:type="dxa"/>
              <w:bottom w:w="50" w:type="dxa"/>
              <w:left w:w="60" w:type="dxa"/>
              <w:right w:w="60" w:type="dxa"/>
            </w:tcMar>
            <w:shd w:fill="003366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Providência Técnica Adotada e Localização no SEI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sz w:val="15"/>
              </w:rPr>
              <w:t>§ 24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Adoção do IPPC Engenharia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Atestada a observância ao IPPC Engenharia (Guia CGU/AGU), formalizada no Despacho SEI nº 64558648, TJTR SEI nº 64474274 e Listas de Verificação AGU SEI nº 61487393 e 63811592.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sz w:val="15"/>
              </w:rPr>
              <w:t>§ 34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Assinatura nos Documentos de Planejamento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Peças técnicas assinadas digitalmente via SEI pela Equipe de Planejamento: ETP (SEI nº 63787321), TR (SEI nº 63787318), Mapa de Riscos (SEI nº 63787257) e Projetos Básicos (SEI nº 64530669).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sz w:val="15"/>
              </w:rPr>
              <w:t>§ 39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Projeto Básico vs. TR e Acervo de Projetos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Demonstrado o acervo arquitetônico completo existente (Sede, Anexos, Marquise, Elevadores, Vila Rubim, Calçada Cidadã) e aplicação do art. 46, § 3º da Lei 14.133/21 no TR (SEI nº 63787318) e Projetos (SEI nº 64530669).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sz w:val="15"/>
              </w:rPr>
              <w:t>§ 44-45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Obrigações e Custos de Projeto Executivo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Custos declarados e absorvidos na Adm. Local/BDI e minuta de cláusula repassada à Licitação no Despacho SEI nº 62223146, TR (SEI nº 63787318) e Projetos Básicos (SEI nº 64530669).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sz w:val="15"/>
              </w:rPr>
              <w:t>§ 48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Declaração de Atividades Acessórias (Dec. 9.507/18)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Declarações formais anexadas aos autos confirmando a natureza acessória predial sob o Doc. SEI nº 64532939 e Doc. SEI nº 62229498.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sz w:val="15"/>
              </w:rPr>
              <w:t>§ 57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Planilhas Orçamentárias Analíticas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Relatórios analíticos de composições de custos unitários dos 11 itens emitidos via Orçafascio e juntados ao processo sob o Doc. SEI nº 64507136 (sem uso de verbas).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sz w:val="15"/>
              </w:rPr>
              <w:t>§ 58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Hierarquia de Preços (SINAPI / Cotações)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Justificada a ordem hierárquica do art. 23 da Lei 14.133/21 (&gt;76% em bases oficiais SINAPI/IOPES e IN 65/21 para itens atípicos) no Despacho SEI nº 64558648 e Mapa Orçafascio SEI nº 62792889.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sz w:val="15"/>
              </w:rPr>
              <w:t>§ 63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Critérios de Aceitabilidade de Preços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Ratificados os limites máximos unitários e globais (Súmulas TCU nº 258 e 259) no Item 9.4 do Termo de Referência (SEI nº 63787318) e Despacho SEI nº 64474566.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sz w:val="15"/>
              </w:rPr>
              <w:t>§ 67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Justificativa de BDI Pleno (Súmula 253 TCU)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Justificada a indivisibilidade de fornecimento e instalação (Acórdão TCU nº 2.622/13), atestando que materiais são insumos intrínsecos, no documento de BDI (SEI nº 63355968) e TJTR (SEI nº 64474274).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sz w:val="15"/>
              </w:rPr>
              <w:t>§ 72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Vantajosidade da Desoneração (CPRB)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Demonstrada a vantajosidade em serviços com mão de obra intensiva (Lei 14.973/24) no documento de BDI (SEI nº 63355968) e no Despacho SEI nº 64558648.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sz w:val="15"/>
              </w:rPr>
              <w:t>§ 73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Curva ABC de Serviços e Insumos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Curva ABC expressa na coluna 'Peso %' do Orçafascio (SEI nº 64507136), com concentração de 74,46% na Classe A (Itens 07, 06, 11 e 03), consolidada no presente despacho.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sz w:val="15"/>
              </w:rPr>
              <w:t>§ 74-76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Cronograma Físico-Financeiro por Demanda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Cronogramas físicos e financeiros estruturados com prazos estimados individualizados por Ordem de Serviço (OS) no documento de BDI (SEI nº 63355968) e no TR (SEI nº 63787318).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sz w:val="15"/>
              </w:rPr>
              <w:t>§ 79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Regularização das ARTs / RRTs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ART definitiva registrada e quitada perante o CREA-ES acostada aos autos sob o Doc. SEI nº 64468889, cobrindo todos os 11 projetos e orçamentos do certame.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sz w:val="15"/>
              </w:rPr>
              <w:t>§ 92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Justificativa da Empreitada por Preço Global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Justificada a escolha do regime global (art. 46 da Lei 14.133/21 e Acórdão TCU nº 1.977/13) pela precisão métrica do acervo arquitetônico no TJTR (SEI nº 64474274) e TR (SEI nº 63787318).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sz w:val="15"/>
              </w:rPr>
              <w:t>§ 97-98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Matriz de Riscos (Acórdão 1.977/13 TCU)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Matriz de riscos com limites de tolerância de 10% (Dec. 7.983/13 e Acórdão TCU 1.977/13) formalizada sob o Doc. SEI nº 63787257 e recepcionada no TJTR (SEI nº 64474274).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sz w:val="15"/>
              </w:rPr>
              <w:t>§ 103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Sistema de Registro de Preços (SRP)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8FAFC"/>
          </w:tcPr>
          <w:p>
            <w:pPr>
              <w:jc w:val="left"/>
            </w:pPr>
            <w:r>
              <w:rPr>
                <w:sz w:val="15"/>
              </w:rPr>
              <w:t>Justificada a conveniência do SRP para atendimento sob demanda no documento de justificativa SRP (SEI nº 63786173), Minuta Ata SRP (SEI nº 63802412) e TJTR (SEI nº 64474274).</w:t>
            </w:r>
          </w:p>
        </w:tc>
      </w:tr>
      <w:tr>
        <w:tc>
          <w:tcPr>
            <w:tcW w:type="dxa" w:w="1152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sz w:val="15"/>
              </w:rPr>
              <w:t>§ 110</w:t>
            </w:r>
          </w:p>
        </w:tc>
        <w:tc>
          <w:tcPr>
            <w:tcW w:type="dxa" w:w="288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Harmonização da Vistoria Técnica</w:t>
            </w:r>
          </w:p>
        </w:tc>
        <w:tc>
          <w:tcPr>
            <w:tcW w:type="dxa" w:w="1296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166534"/>
                <w:sz w:val="15"/>
              </w:rPr>
              <w:t>ATENDIDO</w:t>
            </w:r>
          </w:p>
        </w:tc>
        <w:tc>
          <w:tcPr>
            <w:tcW w:type="dxa" w:w="4320"/>
            <w:tcMar>
              <w:top w:w="35" w:type="dxa"/>
              <w:bottom w:w="35" w:type="dxa"/>
              <w:left w:w="45" w:type="dxa"/>
              <w:right w:w="45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Vistoria facultativa com exigência alternativa de Declaração de Pleno Conhecimento harmonizada no Edital (SEI nº 63787481) e Termo de Referência (SEI nº 63787318).</w:t>
            </w:r>
          </w:p>
        </w:tc>
      </w:tr>
    </w:tbl>
    <w:p>
      <w:pPr>
        <w:spacing w:line="276" w:lineRule="auto" w:after="160"/>
        <w:jc w:val="both"/>
      </w:pPr>
      <w:r>
        <w:rPr>
          <w:b w:val="0"/>
          <w:i w:val="0"/>
          <w:sz w:val="20"/>
        </w:rPr>
        <w:t>4. Quanto ao parágrafo 120 (Previsão Orçamentária e LRF), informa-se que o atesto de dotação orçamentária e conformidade fiscal (arts. 16 e 17 da LRF) está a cargo do Setor Administrativo/Financeiro (SEAL / Paulinho), encontrando-se em fase de certificação para oportuna juntada aos autos.</w:t>
      </w:r>
    </w:p>
    <w:p>
      <w:pPr>
        <w:spacing w:before="220" w:after="100"/>
      </w:pPr>
      <w:r>
        <w:rPr>
          <w:b/>
          <w:color w:val="003366"/>
          <w:sz w:val="22"/>
        </w:rPr>
        <w:t>II. MANIFESTAÇÃO E SANEAMENTO PORMENORIZADO DAS RECOMENDAÇÕES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1. Quanto ao Instrumento de Padronização - IPPC Engenharia (§ 24): Atesta-se que a presente instrução processual observou integralmente as diretrizes do IPPC Engenharia da CGU/AGU, formalizado no Despacho de Justificativa Itens § 24 e § 58 (Doc. SEI nº 64558648), no Termo de Justificativas Técnicas Relevantes - TJTR saneado (Doc. SEI nº 64474274) e nas Listas de Verificação AGU (Docs. SEI nº 61487393 e 63811592).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2. Quanto ao Projeto Básico, Acervo Técnico e Suficiência do Termo de Referência (§ 39): Este responsável técnico atesta formalmente que a Administração possui acervo arquitetônico completo e consolidado, o qual serviu de base absoluta para o levantamento métrico rigoroso dos 11 itens licitados, devidamente reunido no Caderno de Projetos Básicos dos Itens 01 a 11 (Doc. SEI nº 64530669), compreendendo: (a) Projeto Arquitetônico Sede e Anexo; (b) Projeto Calçada Cidadã; (c) Projeto Estacionamento Princesa Isabel; (d) Projeto Anexo Vila Rubim; (e) Projeto Marquise em CAD DWG; e (f) Projeto Básico Elevadores. Com base no art. 46, § 3º da Lei nº 14.133/2021, as especificações foram consolidadas no Termo de Referência (Doc. SEI nº 63787318).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3. Quanto à Elaboração de Detalhamentos Executivos pela Contratada (§ 44 e § 45): Com amparo no art. 46, § 1º, e art. 6º, inciso XXVI da Lei nº 14.133/2021, caberá à Contratada elaborar peças executivas de canteiro, ancoragens NR-35 e balancins. DECLARA-SE FORMALMENTE que tais custos encontram-se incluídos no BDI (Administração Central) e Administração Local, sem custos extras, conforme Despacho à Equipe de Licitações (Doc. SEI nº 62223146) e TR (Doc. SEI nº 63787318).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4. Quanto às Planilhas Orçamentárias Analíticas (§ 57): Em cumprimento à Súmula TCU nº 258/2010, emitiu-se da plataforma Orçafascio o Caderno Geral de Orçamentos Analíticos dos Itens 01 a 11 (Doc. SEI nº 64507136), discriminando todos os custos unitários, insumos, mão de obra e encargos, sem o uso de verbas genéricas.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5. Quanto à Hierarquia de Preços e Suficiência do SINAPI (§ 58): A orçamentação seguiu estritamente o art. 23, § 2º da Lei nº 14.133/2021: 76,34% do valor provém de tabelas públicas oficiais (SINAPI Vitória R$ 652.502,74 e IOPES/ES R$ 115.228,84). Apenas 23,66% (R$ 237.995,34) decorrem de cotações mercadológicas sob a IN SEGES/ME nº 65/2021, restritas a tecnologias atípicas não catalogadas pela CEF (Item 02 - Robótica HVAC, Item 06 - Películas Térmicas Nanocerâmicas e Item 10 - Gerador e Subestação), tudo devidamente comprovado no Despacho de Justificativa Técnica (Doc. SEI nº 64558648) e Mapas de Preços Orçafascio (Docs. SEI nº 62078605 e 62792889).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6. Quanto aos Critérios de Aceitabilidade de Preços Unitários e Globais (§ 63): Ratifica-se que os preços referenciais representam os limites máximos aceitáveis para julgamento das propostas (Súmulas TCU nº 258 e 259), conforme estabelecido no item 9.4 do Termo de Referência (Doc. SEI nº 63787318).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7. Quanto à Inaplicabilidade de BDI Diferenciado para Fornecimento (§ 65 a § 67 / Súmula TCU 253): Não há aquisição autônoma de bens de capital. Todos os materiais (tintas, mastiques, argamassas poliméricas, películas e peças sobressalentes) constituem insumos intrínsecos e indivisíveis dos serviços de conservação predial. O BDI pleno de 25,00% (Acórdão TCU nº 2.622/2013-Plenário) incide legitimamente sobre o valor global, conforme justificado no Documento de BDI (Doc. SEI nº 63355968) e TJTR (Doc. SEI nº 64474274).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8. Quanto à Vantajosidade do Regime Desonerado (§ 68 a § 72): Por se tratar de serviços com mão de obra intensiva, a redução dos encargos no SINAPI Desonerado supera amplamente a alíquota compensatória de 4,5% da CPRB no BDI, garantindo um preço global mais econômico para o erário (Leis nº 12.546/2011 e 14.973/2024), conforme memória anexada sob o Doc. SEI nº 63355968.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9. Quanto à Apresentação da Curva ABC (§ 73): A representatividade percentual e as classes da Curva ABC encontram-se discriminadas na planilha analítica do Orçafascio (Doc. SEI nº 64507136), destacando a concentração de 74,46% nos itens de Classe A, detalhados pormenorizadamente na Seção III deste expediente.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10. Quanto à Regularização da ART Definitiva (§ 79): A Anotação de Responsabilidade Técnica definitiva foi registrada e quitada junto ao CREA-ES sob o Doc. SEI nº 64468889, contemplando a responsabilidade técnica integral por projetos, especificações e orçamentos dos 11 itens.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11. Quanto à Empreitada por Preço Global e Matriz de Riscos (§ 92, § 97 e § 98): A escolha pelo regime global fundamenta-se na precisão métrica do acervo arquitetônico (art. 46 da Lei 14.133/21). Formalizou-se nos autos a Matriz de Riscos do Contrato (Doc. SEI nº 63787257 e TJTR Doc. SEI nº 64474274), disciplinando variações ordinárias e o teto regulamentar de tolerância de erros de 10% (art. 13 do Dec. 7.983/13).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12. Quanto à Harmonização da Vistoria Técnica (§ 110): Fica harmonizado no Edital (Doc. SEI nº 63787481) e TR (Doc. SEI nº 63787318) que a vistoria prévia é facultativa (art. 63, § 2º da Lei 14.133/21), devendo a licitante apresentar Declaração de Pleno Conhecimento.</w:t>
      </w:r>
    </w:p>
    <w:p>
      <w:pPr>
        <w:spacing w:before="220" w:after="100"/>
      </w:pPr>
      <w:r>
        <w:rPr>
          <w:b/>
          <w:color w:val="003366"/>
          <w:sz w:val="22"/>
        </w:rPr>
        <w:t>III. MATRIZ PADRONIZADA DOS 11 ITENS LICITADOS E ANÁLISE DA CURVA ABC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13. Em atendimento expresso às diretrizes do IPPC Engenharia e ao parágrafo 73 do Parecer AGU, apresenta-se a matriz completa dos 11 itens da contratação, detalhando a base referencial adotada, o valor estimado com BDI de 25,00%, a participação percentual individual no orçamento global (R$ 1.005.726,92), o percentual acumulado, a respectiva Classe na Curva ABC e a precisa localização de cada Especificação Técnica e Orçamento Sintético no SEI: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6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576"/>
            <w:tcMar>
              <w:top w:w="40" w:type="dxa"/>
              <w:bottom w:w="40" w:type="dxa"/>
              <w:left w:w="50" w:type="dxa"/>
              <w:right w:w="50" w:type="dxa"/>
            </w:tcMar>
            <w:shd w:fill="00336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2592"/>
            <w:tcMar>
              <w:top w:w="40" w:type="dxa"/>
              <w:bottom w:w="40" w:type="dxa"/>
              <w:left w:w="50" w:type="dxa"/>
              <w:right w:w="50" w:type="dxa"/>
            </w:tcMar>
            <w:shd w:fill="00336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Objeto Especializado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50" w:type="dxa"/>
              <w:right w:w="50" w:type="dxa"/>
            </w:tcMar>
            <w:shd w:fill="00336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Base Legal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50" w:type="dxa"/>
              <w:right w:w="50" w:type="dxa"/>
            </w:tcMar>
            <w:shd w:fill="00336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Valor (R$)</w:t>
            </w:r>
          </w:p>
        </w:tc>
        <w:tc>
          <w:tcPr>
            <w:tcW w:type="dxa" w:w="864"/>
            <w:tcMar>
              <w:top w:w="40" w:type="dxa"/>
              <w:bottom w:w="40" w:type="dxa"/>
              <w:left w:w="50" w:type="dxa"/>
              <w:right w:w="50" w:type="dxa"/>
            </w:tcMar>
            <w:shd w:fill="00336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% Part.</w:t>
            </w:r>
          </w:p>
        </w:tc>
        <w:tc>
          <w:tcPr>
            <w:tcW w:type="dxa" w:w="864"/>
            <w:tcMar>
              <w:top w:w="40" w:type="dxa"/>
              <w:bottom w:w="40" w:type="dxa"/>
              <w:left w:w="50" w:type="dxa"/>
              <w:right w:w="50" w:type="dxa"/>
            </w:tcMar>
            <w:shd w:fill="00336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% Acum.</w:t>
            </w:r>
          </w:p>
        </w:tc>
        <w:tc>
          <w:tcPr>
            <w:tcW w:type="dxa" w:w="864"/>
            <w:tcMar>
              <w:top w:w="40" w:type="dxa"/>
              <w:bottom w:w="40" w:type="dxa"/>
              <w:left w:w="50" w:type="dxa"/>
              <w:right w:w="50" w:type="dxa"/>
            </w:tcMar>
            <w:shd w:fill="00336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Classe</w:t>
            </w:r>
          </w:p>
        </w:tc>
        <w:tc>
          <w:tcPr>
            <w:tcW w:type="dxa" w:w="2160"/>
            <w:tcMar>
              <w:top w:w="40" w:type="dxa"/>
              <w:bottom w:w="40" w:type="dxa"/>
              <w:left w:w="50" w:type="dxa"/>
              <w:right w:w="50" w:type="dxa"/>
            </w:tcMar>
            <w:shd w:fill="00336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Documentos no SEI (ET / Orçamento)</w:t>
            </w:r>
          </w:p>
        </w:tc>
      </w:tr>
      <w:tr>
        <w:tc>
          <w:tcPr>
            <w:tcW w:type="dxa" w:w="57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01</w:t>
            </w:r>
          </w:p>
        </w:tc>
        <w:tc>
          <w:tcPr>
            <w:tcW w:type="dxa" w:w="2592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Substituição Teto Elevadores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SINAPI/Própria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right"/>
            </w:pPr>
            <w:r>
              <w:rPr>
                <w:sz w:val="14"/>
              </w:rPr>
              <w:t>R$ 32.194,17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3,20%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91,87%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C2410C"/>
                <w:sz w:val="14"/>
              </w:rPr>
              <w:t>Classe B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ET: 61826193 | Orç: 61826267</w:t>
            </w:r>
          </w:p>
        </w:tc>
      </w:tr>
      <w:tr>
        <w:tc>
          <w:tcPr>
            <w:tcW w:type="dxa" w:w="5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02</w:t>
            </w:r>
          </w:p>
        </w:tc>
        <w:tc>
          <w:tcPr>
            <w:tcW w:type="dxa" w:w="2592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Limpeza Robotizada Dutos AC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IN SEGES 65/21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right"/>
            </w:pPr>
            <w:r>
              <w:rPr>
                <w:sz w:val="14"/>
              </w:rPr>
              <w:t>R$ 44.011,83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4,38%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88,67%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C2410C"/>
                <w:sz w:val="14"/>
              </w:rPr>
              <w:t>Classe B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ET: 61826396 | Orç: 61826477</w:t>
            </w:r>
          </w:p>
        </w:tc>
      </w:tr>
      <w:tr>
        <w:tc>
          <w:tcPr>
            <w:tcW w:type="dxa" w:w="57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03</w:t>
            </w:r>
          </w:p>
        </w:tc>
        <w:tc>
          <w:tcPr>
            <w:tcW w:type="dxa" w:w="2592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Lavagem Fachada Envidraçada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IOPES / SINAPI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right"/>
            </w:pPr>
            <w:r>
              <w:rPr>
                <w:sz w:val="14"/>
              </w:rPr>
              <w:t>R$ 94.172,48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9,36%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74,46%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B91C1C"/>
                <w:sz w:val="14"/>
              </w:rPr>
              <w:t>Classe A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ET: 61826554 | Orç: 61826643</w:t>
            </w:r>
          </w:p>
        </w:tc>
      </w:tr>
      <w:tr>
        <w:tc>
          <w:tcPr>
            <w:tcW w:type="dxa" w:w="5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04</w:t>
            </w:r>
          </w:p>
        </w:tc>
        <w:tc>
          <w:tcPr>
            <w:tcW w:type="dxa" w:w="2592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Tratamento Juntas Dilatação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SINAPI Vitória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right"/>
            </w:pPr>
            <w:r>
              <w:rPr>
                <w:sz w:val="14"/>
              </w:rPr>
              <w:t>R$ 31.794,07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3,16%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95,03%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475569"/>
                <w:sz w:val="14"/>
              </w:rPr>
              <w:t>Classe C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ET: 61826777 | Orç: 61826863</w:t>
            </w:r>
          </w:p>
        </w:tc>
      </w:tr>
      <w:tr>
        <w:tc>
          <w:tcPr>
            <w:tcW w:type="dxa" w:w="57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05</w:t>
            </w:r>
          </w:p>
        </w:tc>
        <w:tc>
          <w:tcPr>
            <w:tcW w:type="dxa" w:w="2592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Pintura Anticorrosiva Grades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SINAPI Vitória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right"/>
            </w:pPr>
            <w:r>
              <w:rPr>
                <w:sz w:val="14"/>
              </w:rPr>
              <w:t>R$ 51.398,76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5,11%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79,57%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B91C1C"/>
                <w:sz w:val="14"/>
              </w:rPr>
              <w:t>Classe A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ET: 61831609 | Orç: 61831673</w:t>
            </w:r>
          </w:p>
        </w:tc>
      </w:tr>
      <w:tr>
        <w:tc>
          <w:tcPr>
            <w:tcW w:type="dxa" w:w="5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06</w:t>
            </w:r>
          </w:p>
        </w:tc>
        <w:tc>
          <w:tcPr>
            <w:tcW w:type="dxa" w:w="2592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Películas de Controle Solar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IN SEGES 65/21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right"/>
            </w:pPr>
            <w:r>
              <w:rPr>
                <w:sz w:val="14"/>
              </w:rPr>
              <w:t>R$ 171.299,50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17,03%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52,66%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B91C1C"/>
                <w:sz w:val="14"/>
              </w:rPr>
              <w:t>Classe A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ET: 61832077 | Orç: 61832194</w:t>
            </w:r>
          </w:p>
        </w:tc>
      </w:tr>
      <w:tr>
        <w:tc>
          <w:tcPr>
            <w:tcW w:type="dxa" w:w="57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07</w:t>
            </w:r>
          </w:p>
        </w:tc>
        <w:tc>
          <w:tcPr>
            <w:tcW w:type="dxa" w:w="2592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Pintura Geral Sede e Garagem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SINAPI Vitória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right"/>
            </w:pPr>
            <w:r>
              <w:rPr>
                <w:sz w:val="14"/>
              </w:rPr>
              <w:t>R$ 358.338,32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35,63%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35,63%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B91C1C"/>
                <w:sz w:val="14"/>
              </w:rPr>
              <w:t>Classe A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ET: 62216617 | Orç: 62216913</w:t>
            </w:r>
          </w:p>
        </w:tc>
      </w:tr>
      <w:tr>
        <w:tc>
          <w:tcPr>
            <w:tcW w:type="dxa" w:w="5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08</w:t>
            </w:r>
          </w:p>
        </w:tc>
        <w:tc>
          <w:tcPr>
            <w:tcW w:type="dxa" w:w="2592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Impermeabilização Cisterna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SINAPI Vitória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right"/>
            </w:pPr>
            <w:r>
              <w:rPr>
                <w:sz w:val="14"/>
              </w:rPr>
              <w:t>R$ 47.508,76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4,72%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84,29%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C2410C"/>
                <w:sz w:val="14"/>
              </w:rPr>
              <w:t>Classe B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ET: 61833595 | Orç: 61833731</w:t>
            </w:r>
          </w:p>
        </w:tc>
      </w:tr>
      <w:tr>
        <w:tc>
          <w:tcPr>
            <w:tcW w:type="dxa" w:w="57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09</w:t>
            </w:r>
          </w:p>
        </w:tc>
        <w:tc>
          <w:tcPr>
            <w:tcW w:type="dxa" w:w="2592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Limpeza Painéis Fotovoltaicos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IOPES / SINAPI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right"/>
            </w:pPr>
            <w:r>
              <w:rPr>
                <w:sz w:val="14"/>
              </w:rPr>
              <w:t>R$ 27.153,65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2,70%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97,73%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475569"/>
                <w:sz w:val="14"/>
              </w:rPr>
              <w:t>Classe C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ET: 61834144 | Orç: 61834527</w:t>
            </w:r>
          </w:p>
        </w:tc>
      </w:tr>
      <w:tr>
        <w:tc>
          <w:tcPr>
            <w:tcW w:type="dxa" w:w="57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2592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Manutenção Gerador/Subestação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IN SEGES 65/21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right"/>
            </w:pPr>
            <w:r>
              <w:rPr>
                <w:sz w:val="14"/>
              </w:rPr>
              <w:t>R$ 22.829,87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2,27%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sz w:val="14"/>
              </w:rPr>
              <w:t>100,00%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center"/>
            </w:pPr>
            <w:r>
              <w:rPr>
                <w:b/>
                <w:color w:val="475569"/>
                <w:sz w:val="14"/>
              </w:rPr>
              <w:t>Classe C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40" w:type="dxa"/>
              <w:right w:w="40" w:type="dxa"/>
            </w:tcMar>
            <w:shd w:fill="F8FAFC"/>
          </w:tcPr>
          <w:p>
            <w:pPr>
              <w:jc w:val="left"/>
            </w:pPr>
            <w:r>
              <w:rPr>
                <w:sz w:val="14"/>
              </w:rPr>
              <w:t>ET: 61834884 | Orç: 61835041</w:t>
            </w:r>
          </w:p>
        </w:tc>
      </w:tr>
      <w:tr>
        <w:tc>
          <w:tcPr>
            <w:tcW w:type="dxa" w:w="57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2592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Impermeabilização Marquise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SINAPI Vitória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right"/>
            </w:pPr>
            <w:r>
              <w:rPr>
                <w:sz w:val="14"/>
              </w:rPr>
              <w:t>R$ 125.025,51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12,43%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sz w:val="14"/>
              </w:rPr>
              <w:t>65,09%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center"/>
            </w:pPr>
            <w:r>
              <w:rPr>
                <w:b/>
                <w:color w:val="B91C1C"/>
                <w:sz w:val="14"/>
              </w:rPr>
              <w:t>Classe A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40" w:type="dxa"/>
              <w:right w:w="40" w:type="dxa"/>
            </w:tcMar>
            <w:shd w:fill="FFFFFF"/>
          </w:tcPr>
          <w:p>
            <w:pPr>
              <w:jc w:val="left"/>
            </w:pPr>
            <w:r>
              <w:rPr>
                <w:sz w:val="14"/>
              </w:rPr>
              <w:t>ET: 61835197 | Orç: 61835298</w:t>
            </w:r>
          </w:p>
        </w:tc>
      </w:tr>
      <w:tr>
        <w:tc>
          <w:tcPr>
            <w:tcW w:type="dxa" w:w="576"/>
            <w:tcMar>
              <w:top w:w="30" w:type="dxa"/>
              <w:bottom w:w="30" w:type="dxa"/>
              <w:left w:w="40" w:type="dxa"/>
              <w:right w:w="40" w:type="dxa"/>
            </w:tcMar>
            <w:shd w:fill="EDF2F7"/>
          </w:tcPr>
          <w:p>
            <w:pPr>
              <w:jc w:val="center"/>
            </w:pPr>
            <w:r>
              <w:rPr>
                <w:b/>
                <w:sz w:val="14"/>
              </w:rPr>
              <w:t>TOT</w:t>
            </w:r>
          </w:p>
        </w:tc>
        <w:tc>
          <w:tcPr>
            <w:tcW w:type="dxa" w:w="2592"/>
            <w:tcMar>
              <w:top w:w="30" w:type="dxa"/>
              <w:bottom w:w="30" w:type="dxa"/>
              <w:left w:w="40" w:type="dxa"/>
              <w:right w:w="40" w:type="dxa"/>
            </w:tcMar>
            <w:shd w:fill="EDF2F7"/>
          </w:tcPr>
          <w:p>
            <w:pPr>
              <w:jc w:val="left"/>
            </w:pPr>
            <w:r>
              <w:rPr>
                <w:b/>
                <w:sz w:val="14"/>
              </w:rPr>
              <w:t>VALOR GLOBAL CONSOLIDADO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EDF2F7"/>
          </w:tcPr>
          <w:p>
            <w:pPr>
              <w:jc w:val="left"/>
            </w:pPr>
            <w:r>
              <w:rPr>
                <w:b/>
                <w:sz w:val="14"/>
              </w:rPr>
              <w:t>CONSOLIDADO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40" w:type="dxa"/>
              <w:right w:w="40" w:type="dxa"/>
            </w:tcMar>
            <w:shd w:fill="EDF2F7"/>
          </w:tcPr>
          <w:p>
            <w:pPr>
              <w:jc w:val="right"/>
            </w:pPr>
            <w:r>
              <w:rPr>
                <w:b/>
                <w:color w:val="003366"/>
                <w:sz w:val="14"/>
              </w:rPr>
              <w:t>R$ 1.005.726,92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EDF2F7"/>
          </w:tcPr>
          <w:p>
            <w:pPr>
              <w:jc w:val="center"/>
            </w:pPr>
            <w:r>
              <w:rPr>
                <w:b/>
                <w:sz w:val="14"/>
              </w:rPr>
              <w:t>100,00%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EDF2F7"/>
          </w:tcPr>
          <w:p>
            <w:pPr>
              <w:jc w:val="center"/>
            </w:pPr>
            <w:r>
              <w:rPr>
                <w:b/>
                <w:sz w:val="14"/>
              </w:rPr>
              <w:t>100,00%</w:t>
            </w:r>
          </w:p>
        </w:tc>
        <w:tc>
          <w:tcPr>
            <w:tcW w:type="dxa" w:w="864"/>
            <w:tcMar>
              <w:top w:w="30" w:type="dxa"/>
              <w:bottom w:w="30" w:type="dxa"/>
              <w:left w:w="40" w:type="dxa"/>
              <w:right w:w="40" w:type="dxa"/>
            </w:tcMar>
            <w:shd w:fill="EDF2F7"/>
          </w:tcPr>
          <w:p>
            <w:pPr>
              <w:jc w:val="center"/>
            </w:pPr>
            <w:r>
              <w:rPr>
                <w:b/>
                <w:sz w:val="14"/>
              </w:rPr>
              <w:t>100%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40" w:type="dxa"/>
              <w:right w:w="40" w:type="dxa"/>
            </w:tcMar>
            <w:shd w:fill="EDF2F7"/>
          </w:tcPr>
          <w:p>
            <w:pPr>
              <w:jc w:val="left"/>
            </w:pPr>
            <w:r>
              <w:rPr>
                <w:b/>
                <w:sz w:val="14"/>
              </w:rPr>
              <w:t>Caderno Geral: SEI 64507136 | Projetos: SEI 64530669</w:t>
            </w:r>
          </w:p>
        </w:tc>
      </w:tr>
    </w:tbl>
    <w:p>
      <w:pPr>
        <w:spacing w:line="276" w:lineRule="auto" w:after="100"/>
        <w:jc w:val="both"/>
      </w:pPr>
      <w:r>
        <w:rPr>
          <w:b w:val="0"/>
          <w:i w:val="0"/>
          <w:sz w:val="20"/>
        </w:rPr>
        <w:t>14. Análise Estratégica da Curva ABC: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• Classe A (Alta Materialidade): Os itens 07 (Pintura Sede), 06 (Insulfilm), 11 (Marquise), 03 (Lavagem Fachada) e 05 (Pintura Grades) concentram 79,57% do orçamento global (R$ 800.234,57), constituindo o foco prioritário de fiscalização e controle de medição.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• Classe B (Média Materialidade): Os itens 08 (Cisterna), 02 (Dutos AC) e 01 (Elevadores) perfazem 12,30% do orçamento (R$ 123.714,76).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• Classe C (Baixa Materialidade): Os itens 04 (Juntas Dilatação), 09 (Módulos Solares) e 10 (Gerador/Subestação) somam 8,13% do certame (R$ 81.777,59).</w:t>
      </w:r>
    </w:p>
    <w:p>
      <w:pPr>
        <w:spacing w:before="220" w:after="100"/>
      </w:pPr>
      <w:r>
        <w:rPr>
          <w:b/>
          <w:color w:val="003366"/>
          <w:sz w:val="22"/>
        </w:rPr>
        <w:t>IV. GUIA DE INDEXAÇÃO E MAPEAMENTO DOS LINKS NO SEI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15. Para fins de auditoria e conferência imediata pelos órgãos de controle e pela Consultoria Jurídica da União, relacionam-se os números oficiais dos documentos SEI que instruem cada exigência técnica: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1. Parecer Jurídico da AGU: Parecer nº 01199/2026 (Doc. SEI nº 64468820);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2. ART Definitiva Quitada perante o CREA-ES: Doc. SEI nº 64468889;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3. Despacho Justificativa Itens § 24 e § 58: Doc. SEI nº 64558648;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4. Caderno Geral de Orçamentos Analíticos (11 Itens - Orçafascio): Doc. SEI nº 64507136;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5. Acervo de Projetos Básicos Consolidados (Itens 01 a 11): Doc. SEI nº 64530669;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6. Termo de Justificativas Técnicas Relevantes (TJTR Saneado): Doc. SEI nº 64474274;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7. Termo de Referência Consolidado: Doc. SEI nº 63787318;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8. Estudo Técnico Preliminar (ETP): Doc. SEI nº 63787321;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9. Matriz de Alocação de Riscos pós-TR: Doc. SEI nº 63787257;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10. Memória de BDI e Justificativa de Cronograma: Doc. SEI nº 63355968;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11. Declaração de Atendimento ao Parecer Jurídico: Doc. SEI nº 64532939;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12. Declaração de Utilização de Modelos AGU/MGI: Doc. SEI nº 63476776;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13. Listas de Verificação AGU: Docs. SEI nº 61487393 e 63811592;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14. Justificativa de Utilização do SRP e Minuta de Ata: Docs. SEI nº 63786173 e 63802412;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15. Minuta de Edital de Pregão e Contrato: Docs. SEI nº 63787481 e 63807532.</w:t>
      </w:r>
    </w:p>
    <w:p>
      <w:pPr>
        <w:spacing w:before="220" w:after="100"/>
      </w:pPr>
      <w:r>
        <w:rPr>
          <w:b/>
          <w:color w:val="003366"/>
          <w:sz w:val="22"/>
        </w:rPr>
        <w:t>V. CONCLUSÃO E ENCAMINHAMENTO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16. Diante do exposto, resta demonstrado o pleno atendimento e saneamento de todas as recomendações de Engenharia, Arquitetura e Orçamentação insertas no Parecer Jurídico nº 01199/2026/CJENG-EST-SUMÁRIO/SCGP/CGU/AGU (Doc. SEI nº 64468820).</w:t>
      </w:r>
    </w:p>
    <w:p>
      <w:pPr>
        <w:spacing w:line="276" w:lineRule="auto" w:after="100"/>
        <w:jc w:val="both"/>
      </w:pPr>
      <w:r>
        <w:rPr>
          <w:b w:val="0"/>
          <w:i w:val="0"/>
          <w:sz w:val="20"/>
        </w:rPr>
        <w:t>17. O processo encontra-se técnica e juridicamente apto para deliberação superior e regular prosseguimento das etapas do certame licitatório.</w:t>
      </w:r>
    </w:p>
    <w:p>
      <w:pPr>
        <w:spacing w:line="276" w:lineRule="auto" w:after="280"/>
        <w:jc w:val="both"/>
      </w:pPr>
      <w:r>
        <w:rPr>
          <w:b w:val="0"/>
          <w:i w:val="0"/>
          <w:sz w:val="20"/>
        </w:rPr>
        <w:t>18. Encaminhe-se o presente despacho à Superintendência Regional de Administração no Estado do Espírito Santo (SRA/MGI-ES) para conhecimento, aprovação e posterior remessa à Equipe de Licitações e Contratos para os atos de publicação do Edital, substituindo-se em definitivo a minuta anterior acostada sob o Doc. SEI nº 64490579.</w:t>
      </w:r>
    </w:p>
    <w:p>
      <w:pPr>
        <w:spacing w:after="280"/>
      </w:pPr>
      <w:r>
        <w:rPr>
          <w:sz w:val="20"/>
        </w:rPr>
        <w:t>Vitória, 22 de setembro de 2026.</w:t>
      </w:r>
    </w:p>
    <w:p>
      <w:pPr>
        <w:spacing w:line="276" w:lineRule="auto" w:after="40"/>
      </w:pPr>
      <w:r>
        <w:rPr>
          <w:i/>
          <w:color w:val="2D3748"/>
          <w:sz w:val="19"/>
        </w:rPr>
        <w:t>Documento assinado eletronicamente</w:t>
        <w:br/>
      </w:r>
      <w:r>
        <w:rPr>
          <w:b/>
          <w:color w:val="003366"/>
          <w:sz w:val="21"/>
        </w:rPr>
        <w:t>LUIS FERNANDO DIAS</w:t>
        <w:br/>
      </w:r>
      <w:r>
        <w:rPr>
          <w:sz w:val="19"/>
        </w:rPr>
        <w:t>Engenheiro Civil, MSc. – Fiscal Técnico</w:t>
        <w:br/>
      </w:r>
      <w:r>
        <w:rPr>
          <w:sz w:val="19"/>
        </w:rPr>
        <w:t>CREARJ: 1985100024</w:t>
        <w:br/>
      </w:r>
      <w:r>
        <w:rPr>
          <w:sz w:val="19"/>
        </w:rPr>
        <w:t>Setor de Engenharia e Infraestrutura Predial – SRA/MGI-ES</w:t>
        <w:br/>
        <w:br/>
      </w:r>
      <w:r>
        <w:rPr>
          <w:b/>
          <w:color w:val="2D3748"/>
          <w:sz w:val="18"/>
        </w:rPr>
        <w:t>Referência: Processo nº 10783.000206/2026-71. SEI nº 64490579</w:t>
      </w:r>
    </w:p>
    <w:sectPr w:rsidR="00FC693F" w:rsidRPr="0006063C" w:rsidSect="00034616">
      <w:pgSz w:w="12240" w:h="15840"/>
      <w:pgMar w:top="1296" w:right="1296" w:bottom="1296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