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  <w:jc w:val="center"/>
      </w:pPr>
      <w:r>
        <w:rPr>
          <w:rFonts w:ascii="Arial" w:hAnsi="Arial" w:eastAsia="Arial Unicode MS" w:cs="Arial"/>
          <w:b/>
          <w:color w:val="2E74B5"/>
          <w:sz w:val="22"/>
        </w:rPr>
        <w:t>可信回答体验方案</w:t>
      </w:r>
    </w:p>
    <w:p>
      <w:pPr>
        <w:spacing w:after="120"/>
        <w:jc w:val="center"/>
      </w:pPr>
      <w:r>
        <w:rPr>
          <w:rFonts w:ascii="Arial" w:hAnsi="Arial" w:eastAsia="Arial Unicode MS" w:cs="Arial"/>
          <w:b/>
          <w:color w:val="17233B"/>
          <w:sz w:val="56"/>
        </w:rPr>
        <w:t>Dora Amend</w:t>
      </w:r>
    </w:p>
    <w:p>
      <w:pPr>
        <w:spacing w:after="360"/>
        <w:jc w:val="center"/>
      </w:pPr>
      <w:r>
        <w:rPr>
          <w:rFonts w:ascii="Arial" w:hAnsi="Arial" w:eastAsia="Arial Unicode MS" w:cs="Arial"/>
          <w:b w:val="0"/>
          <w:color w:val="5B6982"/>
          <w:sz w:val="28"/>
        </w:rPr>
        <w:t>让每个结论都看得懂、信得过、能追溯，也能被纠正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F"/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"/>
                <w:b/>
                <w:color w:val="17233B"/>
                <w:sz w:val="21"/>
              </w:rPr>
              <w:t>参赛者：王志豪</w:t>
            </w:r>
          </w:p>
        </w:tc>
        <w:tc>
          <w:tcPr>
            <w:tcW w:type="dxa" w:w="5040"/>
            <w:shd w:fill="EAF1FF"/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"/>
                <w:b/>
                <w:color w:val="17233B"/>
                <w:sz w:val="21"/>
              </w:rPr>
              <w:t>交付形式：React 高保真原型</w:t>
            </w:r>
          </w:p>
        </w:tc>
      </w:tr>
    </w:tbl>
    <w:p>
      <w:pPr>
        <w:spacing w:before="320" w:after="280"/>
        <w:jc w:val="center"/>
      </w:pPr>
      <w:r>
        <w:rPr>
          <w:rFonts w:ascii="Arial" w:hAnsi="Arial" w:eastAsia="Arial Unicode MS" w:cs="Arial"/>
          <w:b/>
          <w:color w:val="2E74B5"/>
          <w:sz w:val="24"/>
        </w:rPr>
        <w:t>把可信体验从“展示更多日志”推进到“围绕结论核验、确认影响、修正并比较”。</w:t>
      </w:r>
    </w:p>
    <w:p>
      <w:r>
        <w:drawing>
          <wp:inline xmlns:a="http://schemas.openxmlformats.org/drawingml/2006/main" xmlns:pic="http://schemas.openxmlformats.org/drawingml/2006/picture">
            <wp:extent cx="6400800" cy="400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rust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Arial" w:hAnsi="Arial" w:eastAsia="Arial Unicode MS" w:cs="Arial"/>
          <w:b w:val="0"/>
          <w:color w:val="5B6982"/>
          <w:sz w:val="18"/>
        </w:rPr>
        <w:t>图 1  可信摘要与结论级证据，来源、范围、筛选和事实推断关系集中呈现</w:t>
      </w:r>
    </w:p>
    <w:p>
      <w:pPr>
        <w:spacing w:before="120" w:after="0"/>
        <w:jc w:val="center"/>
      </w:pPr>
      <w:hyperlink r:id="rId12">
        <w:r>
          <w:rPr>
            <w:rFonts w:ascii="Arial" w:hAnsi="Arial" w:eastAsia="Arial Unicode MS" w:cs="Arial"/>
            <w:color w:val="2E74B5"/>
            <w:u w:val="single"/>
          </w:rPr>
          <w:t>在线 Demo</w:t>
        </w:r>
      </w:hyperlink>
      <w:r>
        <w:rPr>
          <w:rFonts w:ascii="Arial" w:hAnsi="Arial" w:eastAsia="Arial Unicode MS" w:cs="Arial"/>
          <w:b w:val="0"/>
          <w:color w:val="5B6982"/>
          <w:sz w:val="20"/>
        </w:rPr>
        <w:t xml:space="preserve">  |  </w:t>
      </w:r>
      <w:hyperlink r:id="rId13">
        <w:r>
          <w:rPr>
            <w:rFonts w:ascii="Arial" w:hAnsi="Arial" w:eastAsia="Arial Unicode MS" w:cs="Arial"/>
            <w:color w:val="2E74B5"/>
            <w:u w:val="single"/>
          </w:rPr>
          <w:t>代码仓库</w:t>
        </w:r>
      </w:hyperlink>
    </w:p>
    <w:p>
      <w:pPr>
        <w:sectPr>
          <w:headerReference w:type="default" r:id="rId9"/>
          <w:footerReference w:type="default" r:id="rId10"/>
          <w:pgSz w:w="12240" w:h="15840"/>
          <w:pgMar w:top="1008" w:right="1080" w:bottom="1008" w:left="1080" w:header="504" w:footer="504" w:gutter="0"/>
          <w:cols w:space="720"/>
          <w:docGrid w:linePitch="360"/>
        </w:sectPr>
      </w:pPr>
    </w:p>
    <w:p>
      <w:pPr>
        <w:pStyle w:val="Heading1"/>
        <w:keepNext/>
        <w:spacing w:before="320" w:after="160"/>
      </w:pPr>
      <w:r>
        <w:rPr>
          <w:rFonts w:ascii="Arial" w:hAnsi="Arial" w:eastAsia="Arial Unicode MS" w:cs="Arial"/>
          <w:b/>
          <w:color w:val="2E74B5"/>
          <w:sz w:val="32"/>
        </w:rPr>
        <w:t>问题洞察</w:t>
      </w:r>
    </w:p>
    <w:p>
      <w:pPr>
        <w:keepLines/>
        <w:spacing w:after="120" w:line="264" w:lineRule="auto"/>
      </w:pPr>
      <w:r>
        <w:rPr>
          <w:rFonts w:ascii="Arial" w:hAnsi="Arial" w:eastAsia="Arial Unicode MS" w:cs="Arial"/>
          <w:b w:val="0"/>
          <w:color w:val="17233B"/>
          <w:sz w:val="22"/>
        </w:rPr>
        <w:t>Dora 已具备思考过程、工具步骤、SQL 明细和最佳实践引用，但这些信息分散在会话与后台监控中。普通业务用户看到经营结论时，仍难以快速确认数据来源、更新时间、筛选条件，以及哪些是事实或推断。结论有误时，还需要重新发起对话或寻找后台入口。问题不是日志不够多，而是证据没有围绕用户正在判断的结论组织。</w:t>
      </w:r>
    </w:p>
    <w:p>
      <w:pPr>
        <w:pStyle w:val="Heading1"/>
        <w:keepNext/>
        <w:spacing w:before="320" w:after="160"/>
      </w:pPr>
      <w:r>
        <w:rPr>
          <w:rFonts w:ascii="Arial" w:hAnsi="Arial" w:eastAsia="Arial Unicode MS" w:cs="Arial"/>
          <w:b/>
          <w:color w:val="2E74B5"/>
          <w:sz w:val="32"/>
        </w:rPr>
        <w:t>设计方案</w:t>
      </w:r>
    </w:p>
    <w:p>
      <w:pPr>
        <w:keepLines/>
        <w:spacing w:after="120" w:line="264" w:lineRule="auto"/>
      </w:pPr>
      <w:r>
        <w:rPr>
          <w:rFonts w:ascii="Arial" w:hAnsi="Arial" w:eastAsia="Arial Unicode MS" w:cs="Arial"/>
          <w:b w:val="0"/>
          <w:color w:val="17233B"/>
          <w:sz w:val="22"/>
        </w:rPr>
        <w:t>Dora Amend 将回答重组为可核验、可修订、可对比的结论对象。回答顶部用可信摘要集中呈现数据来源、更新时间、分析范围、关键口径和异常提醒，并区分数据事实、Agent 推断与行动建议。用户点击任一结论，只查看与它直接相关的事实、计算、筛选条件、查询记录和最佳实践引用，不必翻阅完整日志。</w:t>
      </w:r>
    </w:p>
    <w:p>
      <w:pPr>
        <w:keepLines/>
        <w:spacing w:after="120" w:line="264" w:lineRule="auto"/>
      </w:pPr>
      <w:r>
        <w:rPr>
          <w:rFonts w:ascii="Arial" w:hAnsi="Arial" w:eastAsia="Arial Unicode MS" w:cs="Arial"/>
          <w:b w:val="0"/>
          <w:color w:val="17233B"/>
          <w:sz w:val="22"/>
        </w:rPr>
        <w:t>当用户发现“新店与成熟门店被直接比较”等问题，可在当前结论旁发起纠正。自然语言先转换为明确的结构化条件，执行前展示哪些事实、推断和建议会受影响，确认后仅局部重跑。系统保留原回答，并用版本对比突出利润降幅、原因排序和行动建议为何变化。</w:t>
      </w:r>
    </w:p>
    <w:p>
      <w:r>
        <w:drawing>
          <wp:inline xmlns:a="http://schemas.openxmlformats.org/drawingml/2006/main" xmlns:pic="http://schemas.openxmlformats.org/drawingml/2006/picture">
            <wp:extent cx="6400800" cy="4000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mpact-pre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Arial" w:hAnsi="Arial" w:eastAsia="Arial Unicode MS" w:cs="Arial"/>
          <w:b w:val="0"/>
          <w:color w:val="5B6982"/>
          <w:sz w:val="18"/>
        </w:rPr>
        <w:t>图 2  影响预览先说明会重算什么、保持什么，再由用户确认执行</w:t>
      </w:r>
    </w:p>
    <w:p>
      <w:pPr>
        <w:sectPr>
          <w:pgSz w:w="12240" w:h="15840"/>
          <w:pgMar w:top="1008" w:right="1080" w:bottom="1008" w:left="1080" w:header="504" w:footer="504" w:gutter="0"/>
          <w:cols w:space="720"/>
          <w:docGrid w:linePitch="360"/>
        </w:sectPr>
      </w:pPr>
    </w:p>
    <w:p>
      <w:pPr>
        <w:pStyle w:val="Heading1"/>
        <w:keepNext/>
        <w:spacing w:before="320" w:after="160"/>
      </w:pPr>
      <w:r>
        <w:rPr>
          <w:rFonts w:ascii="Arial" w:hAnsi="Arial" w:eastAsia="Arial Unicode MS" w:cs="Arial"/>
          <w:b/>
          <w:color w:val="2E74B5"/>
          <w:sz w:val="32"/>
        </w:rPr>
        <w:t>创新与价值</w:t>
      </w:r>
    </w:p>
    <w:p>
      <w:pPr>
        <w:keepLines/>
        <w:spacing w:after="120" w:line="264" w:lineRule="auto"/>
      </w:pPr>
      <w:r>
        <w:rPr>
          <w:rFonts w:ascii="Arial" w:hAnsi="Arial" w:eastAsia="Arial Unicode MS" w:cs="Arial"/>
          <w:b w:val="0"/>
          <w:color w:val="17233B"/>
          <w:sz w:val="22"/>
        </w:rPr>
        <w:t>方案不使用难以解释的可信度百分比，也不展示模型隐藏思维过程，而是提供可审计的输入、系统动作和工具结果。它把可信体验从只读解释推进为发现问题、确认影响、修正结论的闭环，让用户知道结论为什么变化，也避免基于错误口径直接采取行动。</w:t>
      </w:r>
    </w:p>
    <w:p>
      <w:r>
        <w:drawing>
          <wp:inline xmlns:a="http://schemas.openxmlformats.org/drawingml/2006/main" xmlns:pic="http://schemas.openxmlformats.org/drawingml/2006/picture">
            <wp:extent cx="6400800" cy="4000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version-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Arial" w:hAnsi="Arial" w:eastAsia="Arial Unicode MS" w:cs="Arial"/>
          <w:b w:val="0"/>
          <w:color w:val="5B6982"/>
          <w:sz w:val="18"/>
        </w:rPr>
        <w:t>图 3  修订后保留 v1，并明确展示数值、原因排序与行动建议的变化</w:t>
      </w:r>
    </w:p>
    <w:p>
      <w:pPr>
        <w:pStyle w:val="Heading1"/>
        <w:keepNext/>
        <w:spacing w:before="320" w:after="160"/>
      </w:pPr>
      <w:r>
        <w:rPr>
          <w:rFonts w:ascii="Arial" w:hAnsi="Arial" w:eastAsia="Arial Unicode MS" w:cs="Arial"/>
          <w:b/>
          <w:color w:val="2E74B5"/>
          <w:sz w:val="32"/>
        </w:rPr>
        <w:t>验证与边界</w:t>
      </w:r>
    </w:p>
    <w:p>
      <w:pPr>
        <w:keepLines/>
        <w:spacing w:after="120" w:line="264" w:lineRule="auto"/>
      </w:pPr>
      <w:r>
        <w:rPr>
          <w:rFonts w:ascii="Arial" w:hAnsi="Arial" w:eastAsia="Arial Unicode MS" w:cs="Arial"/>
          <w:b w:val="0"/>
          <w:color w:val="17233B"/>
          <w:sz w:val="22"/>
        </w:rPr>
        <w:t>当前交付为 React 高保真交互原型，使用虚构 Mock 数据模拟完整闭环，并覆盖数据过期、来源不可用、权限不足和修正歧义状态。原型不连接真实数据库、模型或 Text-to-SQL 服务。类型检查、生产构建、响应式和线上黄金路径已完成验证；真实用户测试尚未完成，不声明未经验证的效果。</w:t>
      </w:r>
    </w:p>
    <w:sectPr w:rsidR="00FC693F" w:rsidRPr="0006063C" w:rsidSect="00034616">
      <w:pgSz w:w="12240" w:h="15840"/>
      <w:pgMar w:top="1008" w:right="1080" w:bottom="1008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 Unicode MS" w:cs="Arial"/>
        <w:b w:val="0"/>
        <w:color w:val="5B6982"/>
        <w:sz w:val="18"/>
      </w:rPr>
      <w:t xml:space="preserve">Dora Amend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 Unicode MS" w:cs="Arial"/>
        <w:b/>
        <w:color w:val="5B6982"/>
        <w:sz w:val="18"/>
      </w:rPr>
      <w:t>2026 帆软 AI 产品体验设计挑战赛  |  Dora 赛道 命题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 Unicode MS" w:cs="Arial"/>
      <w:color w:val="1723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Arial Unicode MS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 Unicode MS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 Unicode MS" w:cs="Arial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luffy0x.github.io/Dora-Amend/" TargetMode="External"/><Relationship Id="rId13" Type="http://schemas.openxmlformats.org/officeDocument/2006/relationships/hyperlink" Target="https://github.com/luffy0x/Dora-Amend" TargetMode="External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Dora Amend 参赛设计文档</dc:title>
  <dc:subject>2026 帆软 AI 产品体验设计挑战赛 Dora 赛道命题 3</dc:subject>
  <dc:creator>王志豪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