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ata-availability-statement"/>
    <w:p>
      <w:pPr>
        <w:pStyle w:val="Heading1"/>
      </w:pPr>
      <w:r>
        <w:t xml:space="preserve">DATA AVAILABILITY STATEMENT</w:t>
      </w:r>
    </w:p>
    <w:bookmarkStart w:id="20" w:name="data-sharing"/>
    <w:p>
      <w:pPr>
        <w:pStyle w:val="Heading2"/>
      </w:pPr>
      <w:r>
        <w:t xml:space="preserve">Data Sharing</w:t>
      </w:r>
    </w:p>
    <w:p>
      <w:pPr>
        <w:pStyle w:val="FirstParagraph"/>
      </w:pPr>
      <w:r>
        <w:t xml:space="preserve">All data and code associated with this study are publicly available to ensure reproducibility and transparency.</w:t>
      </w:r>
    </w:p>
    <w:bookmarkEnd w:id="20"/>
    <w:bookmarkStart w:id="21" w:name="source-dataset"/>
    <w:p>
      <w:pPr>
        <w:pStyle w:val="Heading2"/>
      </w:pPr>
      <w:r>
        <w:t xml:space="preserve">Source Dataset</w:t>
      </w:r>
    </w:p>
    <w:p>
      <w:pPr>
        <w:pStyle w:val="FirstParagraph"/>
      </w:pPr>
      <w:r>
        <w:rPr>
          <w:bCs/>
          <w:b/>
        </w:rPr>
        <w:t xml:space="preserve">UCI Heart Disease Dataset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UCI Machine Learning Repository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t xml:space="preserve">https://archive.ics.uci.edu/dataset/45/heart+disease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DOI:</w:t>
      </w:r>
      <w:r>
        <w:t xml:space="preserve"> </w:t>
      </w:r>
      <w:r>
        <w:t xml:space="preserve">10.24432/C52P4X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CC BY 4.0 (Creative Commons Attribution)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Citation:</w:t>
      </w:r>
      <w:r>
        <w:t xml:space="preserve"> </w:t>
      </w:r>
      <w:r>
        <w:t xml:space="preserve">Janosi, A., Steinbrunn, W., Pfisterer, M., &amp; Detrano, R. (1988). Heart Disease [Dataset]. UCI Machine Learning Repository.</w:t>
      </w:r>
    </w:p>
    <w:p>
      <w:pPr>
        <w:pStyle w:val="BodyText"/>
      </w:pPr>
      <w:r>
        <w:t xml:space="preserve">The original dataset is publicly available and de-identified, containing no personally identifiable information. No additional ethics approval was required for this secondary analysis of public data.</w:t>
      </w:r>
    </w:p>
    <w:bookmarkEnd w:id="21"/>
    <w:bookmarkStart w:id="28" w:name="research-data"/>
    <w:p>
      <w:pPr>
        <w:pStyle w:val="Heading2"/>
      </w:pPr>
      <w:r>
        <w:t xml:space="preserve">Research Data</w:t>
      </w:r>
    </w:p>
    <w:p>
      <w:pPr>
        <w:pStyle w:val="FirstParagraph"/>
      </w:pPr>
      <w:r>
        <w:rPr>
          <w:bCs/>
          <w:b/>
        </w:rPr>
        <w:t xml:space="preserve">GitHub Repository:</w:t>
      </w:r>
      <w:r>
        <w:t xml:space="preserve"> </w:t>
      </w:r>
      <w:r>
        <w:t xml:space="preserve">https://github.com/lufias69/heart-disease-llm-research</w:t>
      </w:r>
    </w:p>
    <w:p>
      <w:pPr>
        <w:pStyle w:val="BodyText"/>
      </w:pPr>
      <w:r>
        <w:t xml:space="preserve">The repository includes:</w:t>
      </w:r>
    </w:p>
    <w:bookmarkStart w:id="22" w:name="raw-prediction-data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Raw Prediction Data</w:t>
      </w:r>
    </w:p>
    <w:p>
      <w:pPr>
        <w:pStyle w:val="FirstParagraph"/>
      </w:pPr>
      <w:r>
        <w:rPr>
          <w:bCs/>
          <w:b/>
        </w:rPr>
        <w:t xml:space="preserve">Original Files (Expert Prompt - for backward compatibility):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llm_predictions/gpt_results.csv</w:t>
      </w:r>
      <w:r>
        <w:t xml:space="preserve"> </w:t>
      </w:r>
      <w:r>
        <w:t xml:space="preserve">- GPT-4o predictions (400 rows: 100 cases — 4 runs)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llm_predictions/gemini_results.csv</w:t>
      </w:r>
      <w:r>
        <w:t xml:space="preserve"> </w:t>
      </w:r>
      <w:r>
        <w:t xml:space="preserve">- Gemini-2.0-Flash predictions (400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llm_predictions/qwen_results.csv</w:t>
      </w:r>
      <w:r>
        <w:t xml:space="preserve"> </w:t>
      </w:r>
      <w:r>
        <w:t xml:space="preserve">- Qwen-Plus predictions (400 rows)</w:t>
      </w:r>
    </w:p>
    <w:p>
      <w:pPr>
        <w:pStyle w:val="BodyText"/>
      </w:pPr>
      <w:r>
        <w:rPr>
          <w:bCs/>
          <w:b/>
        </w:rPr>
        <w:t xml:space="preserve">Expert Prompt (OLD):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llm_predictions/gpt_results_old.csv</w:t>
      </w:r>
      <w:r>
        <w:t xml:space="preserve"> </w:t>
      </w:r>
      <w:r>
        <w:t xml:space="preserve">- GPT-4o predictions (400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llm_predictions/gemini_results_old.csv</w:t>
      </w:r>
      <w:r>
        <w:t xml:space="preserve"> </w:t>
      </w:r>
      <w:r>
        <w:t xml:space="preserve">- Gemini-2.0-Flash predictions (400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llm_predictions/qwen_results_old.csv</w:t>
      </w:r>
      <w:r>
        <w:t xml:space="preserve"> </w:t>
      </w:r>
      <w:r>
        <w:t xml:space="preserve">- Qwen-Plus predictions (400 rows)</w:t>
      </w:r>
    </w:p>
    <w:p>
      <w:pPr>
        <w:pStyle w:val="BodyText"/>
      </w:pPr>
      <w:r>
        <w:rPr>
          <w:bCs/>
          <w:b/>
        </w:rPr>
        <w:t xml:space="preserve">Neutral Prompt (NEW):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llm_predictions/gpt_results_new.csv</w:t>
      </w:r>
      <w:r>
        <w:t xml:space="preserve"> </w:t>
      </w:r>
      <w:r>
        <w:t xml:space="preserve">- GPT-4o predictions (400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llm_predictions/gemini_results_new.csv</w:t>
      </w:r>
      <w:r>
        <w:t xml:space="preserve"> </w:t>
      </w:r>
      <w:r>
        <w:t xml:space="preserve">- Gemini-2.0-Flash predictions (400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llm_predictions/qwen_results_new.csv</w:t>
      </w:r>
      <w:r>
        <w:t xml:space="preserve"> </w:t>
      </w:r>
      <w:r>
        <w:t xml:space="preserve">- Qwen-Plus predictions (400 rows)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2,400 predictions (3 models — 2 prompts — 100 cases — 4 runs)</w:t>
      </w:r>
    </w:p>
    <w:bookmarkEnd w:id="22"/>
    <w:bookmarkStart w:id="23" w:name="test-set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Test Set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sampling/llm_test_data.csv</w:t>
      </w:r>
      <w:r>
        <w:t xml:space="preserve"> </w:t>
      </w:r>
      <w:r>
        <w:t xml:space="preserve">- 100 selected clinical cases with ground truth labels</w:t>
      </w:r>
    </w:p>
    <w:p>
      <w:pPr>
        <w:numPr>
          <w:ilvl w:val="0"/>
          <w:numId w:val="1001"/>
        </w:numPr>
        <w:pStyle w:val="Compact"/>
      </w:pPr>
      <w:r>
        <w:t xml:space="preserve">Complete feature vectors for reproducibility</w:t>
      </w:r>
    </w:p>
    <w:bookmarkEnd w:id="23"/>
    <w:bookmarkStart w:id="24" w:name="analysis-result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Analysis Results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evaluation/consistency_metrics.csv</w:t>
      </w:r>
      <w:r>
        <w:t xml:space="preserve"> </w:t>
      </w:r>
      <w:r>
        <w:t xml:space="preserve">- Intra-model consistency calculations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evaluation/model_comparison.csv</w:t>
      </w:r>
      <w:r>
        <w:t xml:space="preserve"> </w:t>
      </w:r>
      <w:r>
        <w:t xml:space="preserve">- Inter-model agreement statistics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evaluation/prompt_comparison.csv</w:t>
      </w:r>
      <w:r>
        <w:t xml:space="preserve"> </w:t>
      </w:r>
      <w:r>
        <w:t xml:space="preserve">- Prompt variation analysis (both Expert and Neutral prompts)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evaluation/gpt_detailed_results.csv</w:t>
      </w:r>
      <w:r>
        <w:t xml:space="preserve"> </w:t>
      </w:r>
      <w:r>
        <w:t xml:space="preserve">- GPT-4o consistency per test case (100 cases)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evaluation/gemini_detailed_results.csv</w:t>
      </w:r>
      <w:r>
        <w:t xml:space="preserve"> </w:t>
      </w:r>
      <w:r>
        <w:t xml:space="preserve">- Gemini consistency per test case (100 cases)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evaluation/qwen_detailed_results.csv</w:t>
      </w:r>
      <w:r>
        <w:t xml:space="preserve"> </w:t>
      </w:r>
      <w:r>
        <w:t xml:space="preserve">- Qwen consistency per test case (100 cases)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evaluation/threshold_optimization.csv</w:t>
      </w:r>
      <w:r>
        <w:t xml:space="preserve"> </w:t>
      </w:r>
      <w:r>
        <w:t xml:space="preserve">- Threshold sensitivity analysis</w:t>
      </w:r>
    </w:p>
    <w:bookmarkEnd w:id="24"/>
    <w:bookmarkStart w:id="25" w:name="figures-and-table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Figures and Tables</w:t>
      </w:r>
    </w:p>
    <w:p>
      <w:pPr>
        <w:numPr>
          <w:ilvl w:val="0"/>
          <w:numId w:val="1003"/>
        </w:numPr>
        <w:pStyle w:val="Compact"/>
      </w:pPr>
      <w:r>
        <w:t xml:space="preserve">All manuscript figures (PNG, 300+ DPI)</w:t>
      </w:r>
    </w:p>
    <w:p>
      <w:pPr>
        <w:numPr>
          <w:ilvl w:val="0"/>
          <w:numId w:val="1003"/>
        </w:numPr>
        <w:pStyle w:val="Compact"/>
      </w:pPr>
      <w:r>
        <w:t xml:space="preserve">LaTeX table source files</w:t>
      </w:r>
    </w:p>
    <w:p>
      <w:pPr>
        <w:numPr>
          <w:ilvl w:val="0"/>
          <w:numId w:val="1003"/>
        </w:numPr>
        <w:pStyle w:val="Compact"/>
      </w:pPr>
      <w:r>
        <w:t xml:space="preserve">Figure generation scripts</w:t>
      </w:r>
    </w:p>
    <w:bookmarkEnd w:id="25"/>
    <w:bookmarkStart w:id="26" w:name="source-code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Source Code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run_experiment.py</w:t>
      </w:r>
      <w:r>
        <w:t xml:space="preserve"> </w:t>
      </w:r>
      <w:r>
        <w:t xml:space="preserve">- Main experiment execution script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llm_testing/llm_tester.py</w:t>
      </w:r>
      <w:r>
        <w:t xml:space="preserve"> </w:t>
      </w:r>
      <w:r>
        <w:t xml:space="preserve">- LLM API interaction module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evaluation/evaluator.py</w:t>
      </w:r>
      <w:r>
        <w:t xml:space="preserve"> </w:t>
      </w:r>
      <w:r>
        <w:t xml:space="preserve">- Metrics calculation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clustering/clustering.py</w:t>
      </w:r>
      <w:r>
        <w:t xml:space="preserve"> </w:t>
      </w:r>
      <w:r>
        <w:t xml:space="preserve">- K-means clustering for sampling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sampling/sampling.py</w:t>
      </w:r>
      <w:r>
        <w:t xml:space="preserve"> </w:t>
      </w:r>
      <w:r>
        <w:t xml:space="preserve">- Test set selection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- All analysis and visualization scripts</w:t>
      </w:r>
    </w:p>
    <w:bookmarkEnd w:id="26"/>
    <w:bookmarkStart w:id="27" w:name="configuration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Configuration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config/config.yaml</w:t>
      </w:r>
      <w:r>
        <w:t xml:space="preserve"> </w:t>
      </w:r>
      <w:r>
        <w:t xml:space="preserve">- Experimental parameters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- Python dependencies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Reproduction instructions</w:t>
      </w:r>
    </w:p>
    <w:bookmarkEnd w:id="27"/>
    <w:bookmarkEnd w:id="28"/>
    <w:bookmarkStart w:id="32" w:name="reproducibility"/>
    <w:p>
      <w:pPr>
        <w:pStyle w:val="Heading2"/>
      </w:pPr>
      <w:r>
        <w:t xml:space="preserve">Reproducibility</w:t>
      </w:r>
    </w:p>
    <w:bookmarkStart w:id="29" w:name="full-reproduction"/>
    <w:p>
      <w:pPr>
        <w:pStyle w:val="Heading3"/>
      </w:pPr>
      <w:r>
        <w:t xml:space="preserve">Full Reproduction</w:t>
      </w:r>
    </w:p>
    <w:p>
      <w:pPr>
        <w:pStyle w:val="FirstParagraph"/>
      </w:pPr>
      <w:r>
        <w:t xml:space="preserve">Complete reproduction (including new LLM API calls) requires:</w:t>
      </w:r>
      <w:r>
        <w:t xml:space="preserve"> </w:t>
      </w:r>
      <w:r>
        <w:t xml:space="preserve">1. API keys for OpenAI, Google AI Studio, and Alibaba Cloud</w:t>
      </w:r>
      <w:r>
        <w:t xml:space="preserve"> </w:t>
      </w:r>
      <w:r>
        <w:t xml:space="preserve">2. Estimated cost: ~$15-20 USD for 1,200 predictions</w:t>
      </w:r>
      <w:r>
        <w:t xml:space="preserve"> </w:t>
      </w:r>
      <w:r>
        <w:t xml:space="preserve">3. Execution time: ~2-3 hours (depending on API rate limits)</w:t>
      </w:r>
    </w:p>
    <w:bookmarkEnd w:id="29"/>
    <w:bookmarkStart w:id="30" w:name="partial-reproduction-analysis-only"/>
    <w:p>
      <w:pPr>
        <w:pStyle w:val="Heading3"/>
      </w:pPr>
      <w:r>
        <w:t xml:space="preserve">Partial Reproduction (Analysis Only)</w:t>
      </w:r>
    </w:p>
    <w:p>
      <w:pPr>
        <w:pStyle w:val="FirstParagraph"/>
      </w:pPr>
      <w:r>
        <w:t xml:space="preserve">Researchers can reproduce all analyses and figures without API access using our provided prediction data:</w:t>
      </w:r>
      <w:r>
        <w:t xml:space="preserve"> </w:t>
      </w:r>
      <w:r>
        <w:t xml:space="preserve">1. Clone the repository</w:t>
      </w:r>
      <w:r>
        <w:t xml:space="preserve"> </w:t>
      </w:r>
      <w:r>
        <w:t xml:space="preserve">2. Install dependencies: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3. Run analysis scripts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</w:t>
      </w:r>
      <w:r>
        <w:t xml:space="preserve"> </w:t>
      </w:r>
      <w:r>
        <w:t xml:space="preserve">4. All figures and tables can be regenerated from saved predictions</w:t>
      </w:r>
    </w:p>
    <w:bookmarkEnd w:id="30"/>
    <w:bookmarkStart w:id="31" w:name="detailed-instructions"/>
    <w:p>
      <w:pPr>
        <w:pStyle w:val="Heading3"/>
      </w:pPr>
      <w:r>
        <w:t xml:space="preserve">Detailed Instructions</w:t>
      </w:r>
    </w:p>
    <w:p>
      <w:pPr>
        <w:pStyle w:val="FirstParagraph"/>
      </w:pPr>
      <w:r>
        <w:t xml:space="preserve">Step-by-step reproduction guide included in repository README.md</w:t>
      </w:r>
    </w:p>
    <w:bookmarkEnd w:id="31"/>
    <w:bookmarkEnd w:id="32"/>
    <w:bookmarkStart w:id="33" w:name="api-access"/>
    <w:p>
      <w:pPr>
        <w:pStyle w:val="Heading2"/>
      </w:pPr>
      <w:r>
        <w:t xml:space="preserve">API Access</w:t>
      </w:r>
    </w:p>
    <w:p>
      <w:pPr>
        <w:pStyle w:val="FirstParagraph"/>
      </w:pPr>
      <w:r>
        <w:rPr>
          <w:bCs/>
          <w:b/>
        </w:rPr>
        <w:t xml:space="preserve">Note on API Keys:</w:t>
      </w:r>
      <w:r>
        <w:br/>
      </w:r>
      <w:r>
        <w:t xml:space="preserve">For privacy and security, API keys are not included in the public repository. Researchers wishing to replicate LLM predictions will need to:</w:t>
      </w:r>
      <w:r>
        <w:t xml:space="preserve"> </w:t>
      </w:r>
      <w:r>
        <w:t xml:space="preserve">1. Obtain API keys from OpenAI, Google, and Alibaba Cloud</w:t>
      </w:r>
      <w:r>
        <w:t xml:space="preserve"> </w:t>
      </w:r>
      <w:r>
        <w:t xml:space="preserve">2. Configure keys according to instructions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3. API access is generally free (with limits) or low-cost for research purposes</w:t>
      </w:r>
    </w:p>
    <w:bookmarkEnd w:id="33"/>
    <w:bookmarkStart w:id="34" w:name="data-preservation"/>
    <w:p>
      <w:pPr>
        <w:pStyle w:val="Heading2"/>
      </w:pPr>
      <w:r>
        <w:t xml:space="preserve">Data Preservation</w:t>
      </w:r>
    </w:p>
    <w:p>
      <w:pPr>
        <w:pStyle w:val="FirstParagraph"/>
      </w:pPr>
      <w:r>
        <w:rPr>
          <w:bCs/>
          <w:b/>
        </w:rPr>
        <w:t xml:space="preserve">Long-term Archival:</w:t>
      </w:r>
      <w:r>
        <w:br/>
      </w:r>
      <w:r>
        <w:t xml:space="preserve">Upon manuscript acceptance, we will create a permanent archived version of the repository using Zenodo, which will provide:</w:t>
      </w:r>
      <w:r>
        <w:t xml:space="preserve"> </w:t>
      </w:r>
      <w:r>
        <w:t xml:space="preserve">- Permanent DOI for the code/data package</w:t>
      </w:r>
      <w:r>
        <w:t xml:space="preserve"> </w:t>
      </w:r>
      <w:r>
        <w:t xml:space="preserve">- Long-term preservation guarantee</w:t>
      </w:r>
      <w:r>
        <w:t xml:space="preserve"> </w:t>
      </w:r>
      <w:r>
        <w:t xml:space="preserve">- Version control and citability</w:t>
      </w:r>
    </w:p>
    <w:p>
      <w:pPr>
        <w:pStyle w:val="BodyText"/>
      </w:pPr>
      <w:r>
        <w:rPr>
          <w:bCs/>
          <w:b/>
        </w:rPr>
        <w:t xml:space="preserve">Expected Zenodo DOI:</w:t>
      </w:r>
      <w:r>
        <w:t xml:space="preserve"> </w:t>
      </w:r>
      <w:r>
        <w:t xml:space="preserve">[To be assigned upon archival]</w:t>
      </w:r>
    </w:p>
    <w:bookmarkEnd w:id="34"/>
    <w:bookmarkStart w:id="35" w:name="contact-for-data"/>
    <w:p>
      <w:pPr>
        <w:pStyle w:val="Heading2"/>
      </w:pPr>
      <w:r>
        <w:t xml:space="preserve">Contact for Data</w:t>
      </w:r>
    </w:p>
    <w:p>
      <w:pPr>
        <w:pStyle w:val="FirstParagraph"/>
      </w:pPr>
      <w:r>
        <w:t xml:space="preserve">For questions about data access, code execution, or reproducibility:</w:t>
      </w:r>
    </w:p>
    <w:p>
      <w:pPr>
        <w:pStyle w:val="BodyText"/>
      </w:pPr>
      <w:r>
        <w:rPr>
          <w:bCs/>
          <w:b/>
        </w:rPr>
        <w:t xml:space="preserve">Syaiful Bachri Mustamin</w:t>
      </w:r>
      <w:r>
        <w:br/>
      </w:r>
      <w:r>
        <w:t xml:space="preserve">Email: syaifulbachri@mail.ugm.ac.id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Indonesia</w:t>
      </w:r>
    </w:p>
    <w:p>
      <w:pPr>
        <w:pStyle w:val="BodyText"/>
      </w:pPr>
      <w:r>
        <w:t xml:space="preserve">We commit to responding to all reasonable requests within 2 weeks and providing assistance for reproduction efforts.</w:t>
      </w:r>
    </w:p>
    <w:bookmarkEnd w:id="35"/>
    <w:bookmarkStart w:id="36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rPr>
          <w:bCs/>
          <w:b/>
        </w:rPr>
        <w:t xml:space="preserve">Code:</w:t>
      </w:r>
      <w:r>
        <w:t xml:space="preserve"> </w:t>
      </w:r>
      <w:r>
        <w:t xml:space="preserve">MIT License (free for any use with attribution)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CC BY 4.0 (as per UCI dataset license)</w:t>
      </w:r>
      <w:r>
        <w:br/>
      </w:r>
      <w:r>
        <w:rPr>
          <w:bCs/>
          <w:b/>
        </w:rPr>
        <w:t xml:space="preserve">Manuscript:</w:t>
      </w:r>
      <w:r>
        <w:t xml:space="preserve"> </w:t>
      </w:r>
      <w:r>
        <w:t xml:space="preserve">Copyright retained by authors until publication</w:t>
      </w:r>
    </w:p>
    <w:p>
      <w:pPr>
        <w:pStyle w:val="BodyText"/>
      </w:pPr>
      <w:r>
        <w:rPr>
          <w:iCs/>
          <w:i/>
        </w:rPr>
        <w:t xml:space="preserve">Last Updated: December 17, 2025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2025-12-17T12:55:08Z</dcterms:created>
  <dcterms:modified xsi:type="dcterms:W3CDTF">2025-12-17T12:55:08Z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