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â€“</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â€¢ All models achieved exceptional reproducibility (99-100% consistency)</w:t>
      </w:r>
      <w:r>
        <w:t xml:space="preserve"> </w:t>
      </w:r>
      <w:r>
        <w:t xml:space="preserve">â€¢ Diagnostic accuracy remained at chance level (~50%)</w:t>
      </w:r>
      <w:r>
        <w:t xml:space="preserve"> </w:t>
      </w:r>
      <w:r>
        <w:t xml:space="preserve">â€¢ The consistency-accuracy gap reached ~50 percentage points</w:t>
      </w:r>
      <w:r>
        <w:t xml:space="preserve"> </w:t>
      </w:r>
      <w:r>
        <w:t xml:space="preserve">â€¢ Models showed systematic bias toward positive diagnosis (49-51 false positives vs 0-1 false negatives)</w:t>
      </w:r>
      <w:r>
        <w:t xml:space="preserve"> </w:t>
      </w:r>
      <w:r>
        <w:t xml:space="preserve">â€¢ Prompt engineering had minimal impact (&lt;3% prediction change)</w:t>
      </w:r>
      <w:r>
        <w:t xml:space="preserve"> </w:t>
      </w:r>
      <w:r>
        <w:t xml:space="preserve">â€¢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â€¢ Aligns with the journal’s focus on AI in medicine and clinical decision support</w:t>
      </w:r>
      <w:r>
        <w:t xml:space="preserve"> </w:t>
      </w:r>
      <w:r>
        <w:t xml:space="preserve">â€¢ Addresses timely concerns about LLM reliability in healthcare</w:t>
      </w:r>
      <w:r>
        <w:t xml:space="preserve"> </w:t>
      </w:r>
      <w:r>
        <w:t xml:space="preserve">â€¢ Provides rigorous empirical evidence with immediate clinical implications</w:t>
      </w:r>
      <w:r>
        <w:t xml:space="preserve"> </w:t>
      </w:r>
      <w:r>
        <w:t xml:space="preserve">â€¢ Appeals to diverse readership (clinicians, AI researchers, policymakers)</w:t>
      </w:r>
      <w:r>
        <w:t xml:space="preserve"> </w:t>
      </w:r>
      <w:r>
        <w:t xml:space="preserve">â€¢ Contributes to ongoing dialogue about responsible AI in medicine</w:t>
      </w:r>
    </w:p>
    <w:p>
      <w:pPr>
        <w:pStyle w:val="BodyText"/>
      </w:pPr>
      <w:r>
        <w:t xml:space="preserve">DECLARATIONS</w:t>
      </w:r>
    </w:p>
    <w:p>
      <w:pPr>
        <w:pStyle w:val="BodyText"/>
      </w:pPr>
      <w:r>
        <w:t xml:space="preserve">â€¢ This manuscript represents original work not previously published or under consideration elsewhere</w:t>
      </w:r>
      <w:r>
        <w:t xml:space="preserve"> </w:t>
      </w:r>
      <w:r>
        <w:t xml:space="preserve">â€¢ A preprint version is available on medRxiv for community feedback and rapid dissemination</w:t>
      </w:r>
      <w:r>
        <w:t xml:space="preserve"> </w:t>
      </w:r>
      <w:r>
        <w:t xml:space="preserve">â€¢ All authors have approved the manuscript and agree with submission to JAMIA</w:t>
      </w:r>
      <w:r>
        <w:t xml:space="preserve"> </w:t>
      </w:r>
      <w:r>
        <w:t xml:space="preserve">â€¢ We have no conflicts of interest to declare</w:t>
      </w:r>
      <w:r>
        <w:t xml:space="preserve"> </w:t>
      </w:r>
      <w:r>
        <w:t xml:space="preserve">â€¢ The study used publicly available de-identified data and did not require IRB approval</w:t>
      </w:r>
      <w:r>
        <w:t xml:space="preserve"> </w:t>
      </w:r>
      <w:r>
        <w:t xml:space="preserve">â€¢ All data, code, and analysis scripts will be made publicly available upon acceptance</w:t>
      </w:r>
    </w:p>
    <w:p>
      <w:pPr>
        <w:pStyle w:val="BodyText"/>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â€¢ Main manuscript: ~4,900 words (within JAMIA 5,000-word limit)</w:t>
      </w:r>
      <w:r>
        <w:t xml:space="preserve"> </w:t>
      </w:r>
      <w:r>
        <w:t xml:space="preserve">â€¢ Figures: 3 main figures (7-panel comprehensive analysis, confusion matrices, prompt comparison)</w:t>
      </w:r>
      <w:r>
        <w:t xml:space="preserve"> </w:t>
      </w:r>
      <w:r>
        <w:t xml:space="preserve">â€¢ Tables: 5 main tables</w:t>
      </w:r>
      <w:r>
        <w:t xml:space="preserve"> </w:t>
      </w:r>
      <w:r>
        <w:t xml:space="preserve">â€¢ Supplementary materials: Detailed data, code repository, additional analyses</w:t>
      </w:r>
      <w:r>
        <w:t xml:space="preserve"> </w:t>
      </w:r>
      <w:r>
        <w:t xml:space="preserve">â€¢ References: 8 citations (focused on high-impact recent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â€“ Institut Sains Teknologi dan Kesehatan ’Aisyiyah Kendari</w:t>
      </w:r>
      <w:r>
        <w:t xml:space="preserve"> </w:t>
      </w:r>
      <w:r>
        <w:t xml:space="preserve">Muhammad Atnang â€“ Institut Sains Teknologi dan Kesehatan ’Aisyiyah Kendari</w:t>
      </w:r>
      <w:r>
        <w:t xml:space="preserve"> </w:t>
      </w:r>
      <w:r>
        <w:t xml:space="preserve">Kartini Aprilia Pratiwi Nuzry â€“ Institut Sains Teknologi dan Kesehatan ’Aisyiyah Kendari</w:t>
      </w:r>
    </w:p>
    <w:p>
      <w:pPr>
        <w:pStyle w:val="BodyText"/>
      </w:pPr>
      <w:r>
        <w:t xml:space="preserve">MANUSCRIPT HIGHLIGHTS (for online submission form):</w:t>
      </w:r>
    </w:p>
    <w:p>
      <w:pPr>
        <w:pStyle w:val="BodyText"/>
      </w:pPr>
      <w:r>
        <w:t xml:space="preserve">â€¢ First systematic evaluation of LLM consistency versus accuracy in medical diagnosis</w:t>
      </w:r>
      <w:r>
        <w:t xml:space="preserve"> </w:t>
      </w:r>
      <w:r>
        <w:t xml:space="preserve">â€¢ 1,200 predictions from three state-of-the-art models with rigorous checkpoint system</w:t>
      </w:r>
      <w:r>
        <w:t xml:space="preserve"> </w:t>
      </w:r>
      <w:r>
        <w:t xml:space="preserve">â€¢ 99-100% consistency but only 50% accuracy â€“ unprecedented 50-point gap</w:t>
      </w:r>
      <w:r>
        <w:t xml:space="preserve"> </w:t>
      </w:r>
      <w:r>
        <w:t xml:space="preserve">â€¢ Systematic positive diagnosis bias (49-51 false positives, 0-1 false negatives)</w:t>
      </w:r>
      <w:r>
        <w:t xml:space="preserve"> </w:t>
      </w:r>
      <w:r>
        <w:t xml:space="preserve">â€¢ Prompt engineering had minimal effect, suggesting deep-rooted model behavior</w:t>
      </w:r>
      <w:r>
        <w:t xml:space="preserve"> </w:t>
      </w:r>
      <w:r>
        <w:t xml:space="preserve">â€¢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2025-12-17T11:37:24Z</dcterms:created>
  <dcterms:modified xsi:type="dcterms:W3CDTF">2025-12-17T11:37:24Z</dcterms:modified>
</cp:coreProperties>
</file>

<file path=docProps/custom.xml><?xml version="1.0" encoding="utf-8"?>
<Properties xmlns="http://schemas.openxmlformats.org/officeDocument/2006/custom-properties" xmlns:vt="http://schemas.openxmlformats.org/officeDocument/2006/docPropsVTypes"/>
</file>