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rPr>
          <w:b/>
          <w:bCs/>
          <w:color w:val="5B6470"/>
          <w:spacing w:val="30"/>
          <w:sz w:val="20"/>
          <w:szCs w:val="20"/>
        </w:rPr>
        <w:t xml:space="preserve">ITS ICT PIEMONTE — WSA 2025–2027</w:t>
      </w:r>
    </w:p>
    <w:p>
      <w:pPr>
        <w:spacing w:after="500"/>
      </w:pPr>
      <w:r>
        <w:rPr>
          <w:b/>
          <w:bCs/>
          <w:color w:val="A8863F"/>
          <w:sz w:val="20"/>
          <w:szCs w:val="20"/>
        </w:rPr>
        <w:t xml:space="preserve">Unità Formativa · Learning by Project</w:t>
      </w:r>
    </w:p>
    <w:p>
      <w:pPr>
        <w:spacing w:after="0"/>
      </w:pPr>
      <w:r>
        <w:rPr>
          <w:b/>
          <w:bCs/>
          <w:color w:val="0A1628"/>
          <w:sz w:val="64"/>
          <w:szCs w:val="64"/>
        </w:rPr>
        <w:t xml:space="preserve">BlueHarbor Terminal</w:t>
      </w:r>
    </w:p>
    <w:p>
      <w:pPr>
        <w:pBdr>
          <w:bottom w:val="single" w:color="C8A45A" w:sz="18" w:space="8"/>
        </w:pBdr>
        <w:spacing w:after="0" w:before="40"/>
      </w:pPr>
      <w:r>
        <w:rPr>
          <w:color w:val="112244"/>
          <w:sz w:val="34"/>
          <w:szCs w:val="34"/>
        </w:rPr>
        <w:t xml:space="preserve">Manuale utente</w:t>
      </w:r>
    </w:p>
    <w:p>
      <w:pPr>
        <w:spacing w:after="60" w:before="260"/>
      </w:pPr>
      <w:r>
        <w:rPr>
          <w:i/>
          <w:iCs/>
          <w:color w:val="5B6470"/>
          <w:sz w:val="24"/>
          <w:szCs w:val="24"/>
        </w:rPr>
        <w:t xml:space="preserve">Guida pratica all’uso dell’applicazione: accesso, funzioni e attività quotidiane.</w:t>
      </w:r>
    </w:p>
    <w:p>
      <w:pPr>
        <w:spacing w:after="500"/>
      </w:pPr>
      <w:r>
        <w:rPr>
          <w:color w:val="5B6470"/>
          <w:sz w:val="20"/>
          <w:szCs w:val="20"/>
        </w:rPr>
        <w:t xml:space="preserve">Documento rivolto agli utenti dell’applicazione. Nessuna competenza tecnica richiesta.</w:t>
      </w:r>
    </w:p>
    <w:tbl>
      <w:tblPr>
        <w:tblW w:type="pct" w:w="100%"/>
        <w:tblBorders>
          <w:top w:val="single" w:color="D5DAE2" w:sz="4"/>
          <w:left w:val="single" w:color="D5DAE2" w:sz="4"/>
          <w:bottom w:val="single" w:color="D5DAE2" w:sz="4"/>
          <w:right w:val="single" w:color="D5DAE2" w:sz="4"/>
          <w:insideH w:val="single" w:color="D5DAE2" w:sz="4"/>
          <w:insideV w:val="single" w:color="D5DAE2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2%"/>
            <w:shd w:fill="0A16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Voce</w:t>
            </w:r>
          </w:p>
        </w:tc>
        <w:tc>
          <w:tcPr>
            <w:tcW w:type="pct" w:w="68%"/>
            <w:shd w:fill="0A16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Dettaglio</w:t>
            </w:r>
          </w:p>
        </w:tc>
      </w:tr>
      <w:tr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Cliente / Committente</w:t>
            </w:r>
          </w:p>
        </w:tc>
        <w:tc>
          <w:tcPr>
            <w:tcW w:type="pct" w:w="6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MSC — Mediterranean Shipping Company (scenario didattico)</w:t>
            </w:r>
          </w:p>
        </w:tc>
      </w:tr>
      <w:tr>
        <w:tc>
          <w:tcPr>
            <w:tcW w:type="pct" w:w="32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Prodotto</w:t>
            </w:r>
          </w:p>
        </w:tc>
        <w:tc>
          <w:tcPr>
            <w:tcW w:type="pct" w:w="68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BlueHarbor Terminal</w:t>
            </w:r>
          </w:p>
        </w:tc>
      </w:tr>
      <w:tr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Versione documento</w:t>
            </w:r>
          </w:p>
        </w:tc>
        <w:tc>
          <w:tcPr>
            <w:tcW w:type="pct" w:w="6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1.0 — Consegna finale</w:t>
            </w:r>
          </w:p>
        </w:tc>
      </w:tr>
      <w:tr>
        <w:tc>
          <w:tcPr>
            <w:tcW w:type="pct" w:w="32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Data</w:t>
            </w:r>
          </w:p>
        </w:tc>
        <w:tc>
          <w:tcPr>
            <w:tcW w:type="pct" w:w="68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27 luglio 2026</w:t>
            </w:r>
          </w:p>
        </w:tc>
      </w:tr>
      <w:tr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A cura di</w:t>
            </w:r>
          </w:p>
        </w:tc>
        <w:tc>
          <w:tcPr>
            <w:tcW w:type="pct" w:w="6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‹ inserire nome del team ›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100" w:right="1200" w:bottom="1100" w:left="1200" w:header="708" w:footer="708" w:gutter="0"/>
          <w:pgNumType/>
          <w:docGrid w:linePitch="360"/>
        </w:sectPr>
      </w:pPr>
    </w:p>
    <w:p>
      <w:pPr>
        <w:spacing w:after="160"/>
      </w:pPr>
      <w:r>
        <w:rPr>
          <w:b/>
          <w:bCs/>
          <w:color w:val="0A1628"/>
          <w:sz w:val="32"/>
          <w:szCs w:val="32"/>
        </w:rPr>
        <w:t xml:space="preserve">Sommario</w:t>
      </w:r>
    </w:p>
    <w:p>
      <w:pPr>
        <w:spacing w:after="50" w:before="90"/>
        <w:ind w:left="0"/>
      </w:pPr>
      <w:hyperlink w:history="1" w:anchor="bm1">
        <w:r>
          <w:rPr>
            <w:b/>
            <w:bCs/>
            <w:color w:val="0A1628"/>
            <w:sz w:val="22"/>
            <w:szCs w:val="22"/>
          </w:rPr>
          <w:t xml:space="preserve">1. Che cos’è BlueHarbor</w:t>
        </w:r>
      </w:hyperlink>
    </w:p>
    <w:p>
      <w:pPr>
        <w:spacing w:after="50" w:before="90"/>
        <w:ind w:left="0"/>
      </w:pPr>
      <w:hyperlink w:history="1" w:anchor="bm2">
        <w:r>
          <w:rPr>
            <w:b/>
            <w:bCs/>
            <w:color w:val="0A1628"/>
            <w:sz w:val="22"/>
            <w:szCs w:val="22"/>
          </w:rPr>
          <w:t xml:space="preserve">2. Primo accesso</w:t>
        </w:r>
      </w:hyperlink>
    </w:p>
    <w:p>
      <w:pPr>
        <w:spacing w:after="20" w:before="0"/>
        <w:ind w:left="360"/>
      </w:pPr>
      <w:hyperlink w:history="1" w:anchor="bm3">
        <w:r>
          <w:rPr>
            <w:b w:val="false"/>
            <w:bCs w:val="false"/>
            <w:color w:val="2A3340"/>
            <w:sz w:val="20"/>
            <w:szCs w:val="20"/>
          </w:rPr>
          <w:t xml:space="preserve">2.1 Aprire l’applicazione ed entrare</w:t>
        </w:r>
      </w:hyperlink>
    </w:p>
    <w:p>
      <w:pPr>
        <w:spacing w:after="20" w:before="0"/>
        <w:ind w:left="360"/>
      </w:pPr>
      <w:hyperlink w:history="1" w:anchor="bm4">
        <w:r>
          <w:rPr>
            <w:b w:val="false"/>
            <w:bCs w:val="false"/>
            <w:color w:val="2A3340"/>
            <w:sz w:val="20"/>
            <w:szCs w:val="20"/>
          </w:rPr>
          <w:t xml:space="preserve">2.2 Account dimostrativi</w:t>
        </w:r>
      </w:hyperlink>
    </w:p>
    <w:p>
      <w:pPr>
        <w:spacing w:after="20" w:before="0"/>
        <w:ind w:left="360"/>
      </w:pPr>
      <w:hyperlink w:history="1" w:anchor="bm5">
        <w:r>
          <w:rPr>
            <w:b w:val="false"/>
            <w:bCs w:val="false"/>
            <w:color w:val="2A3340"/>
            <w:sz w:val="20"/>
            <w:szCs w:val="20"/>
          </w:rPr>
          <w:t xml:space="preserve">2.3 Lingua e tema</w:t>
        </w:r>
      </w:hyperlink>
    </w:p>
    <w:p>
      <w:pPr>
        <w:spacing w:after="50" w:before="90"/>
        <w:ind w:left="0"/>
      </w:pPr>
      <w:hyperlink w:history="1" w:anchor="bm6">
        <w:r>
          <w:rPr>
            <w:b/>
            <w:bCs/>
            <w:color w:val="0A1628"/>
            <w:sz w:val="22"/>
            <w:szCs w:val="22"/>
          </w:rPr>
          <w:t xml:space="preserve">3. Concetti di base (in parole semplici)</w:t>
        </w:r>
      </w:hyperlink>
    </w:p>
    <w:p>
      <w:pPr>
        <w:spacing w:after="20" w:before="0"/>
        <w:ind w:left="360"/>
      </w:pPr>
      <w:hyperlink w:history="1" w:anchor="bm7">
        <w:r>
          <w:rPr>
            <w:b w:val="false"/>
            <w:bCs w:val="false"/>
            <w:color w:val="2A3340"/>
            <w:sz w:val="20"/>
            <w:szCs w:val="20"/>
          </w:rPr>
          <w:t xml:space="preserve">3.1 Il tempo: giorno virtuale e "Next Day"</w:t>
        </w:r>
      </w:hyperlink>
    </w:p>
    <w:p>
      <w:pPr>
        <w:spacing w:after="20" w:before="0"/>
        <w:ind w:left="360"/>
      </w:pPr>
      <w:hyperlink w:history="1" w:anchor="bm8">
        <w:r>
          <w:rPr>
            <w:b w:val="false"/>
            <w:bCs w:val="false"/>
            <w:color w:val="2A3340"/>
            <w:sz w:val="20"/>
            <w:szCs w:val="20"/>
          </w:rPr>
          <w:t xml:space="preserve">3.2 Le taglie e le banchine</w:t>
        </w:r>
      </w:hyperlink>
    </w:p>
    <w:p>
      <w:pPr>
        <w:spacing w:after="20" w:before="0"/>
        <w:ind w:left="360"/>
      </w:pPr>
      <w:hyperlink w:history="1" w:anchor="bm9">
        <w:r>
          <w:rPr>
            <w:b w:val="false"/>
            <w:bCs w:val="false"/>
            <w:color w:val="2A3340"/>
            <w:sz w:val="20"/>
            <w:szCs w:val="20"/>
          </w:rPr>
          <w:t xml:space="preserve">3.3 Gli stati di una nave</w:t>
        </w:r>
      </w:hyperlink>
    </w:p>
    <w:p>
      <w:pPr>
        <w:spacing w:after="50" w:before="90"/>
        <w:ind w:left="0"/>
      </w:pPr>
      <w:hyperlink w:history="1" w:anchor="bm10">
        <w:r>
          <w:rPr>
            <w:b/>
            <w:bCs/>
            <w:color w:val="0A1628"/>
            <w:sz w:val="22"/>
            <w:szCs w:val="22"/>
          </w:rPr>
          <w:t xml:space="preserve">4. Guida per l’Operatore</w:t>
        </w:r>
      </w:hyperlink>
    </w:p>
    <w:p>
      <w:pPr>
        <w:spacing w:after="20" w:before="0"/>
        <w:ind w:left="360"/>
      </w:pPr>
      <w:hyperlink w:history="1" w:anchor="bm11">
        <w:r>
          <w:rPr>
            <w:b w:val="false"/>
            <w:bCs w:val="false"/>
            <w:color w:val="2A3340"/>
            <w:sz w:val="20"/>
            <w:szCs w:val="20"/>
          </w:rPr>
          <w:t xml:space="preserve">4.1 Registrare una nuova nave</w:t>
        </w:r>
      </w:hyperlink>
    </w:p>
    <w:p>
      <w:pPr>
        <w:spacing w:after="20" w:before="0"/>
        <w:ind w:left="360"/>
      </w:pPr>
      <w:hyperlink w:history="1" w:anchor="bm12">
        <w:r>
          <w:rPr>
            <w:b w:val="false"/>
            <w:bCs w:val="false"/>
            <w:color w:val="2A3340"/>
            <w:sz w:val="20"/>
            <w:szCs w:val="20"/>
          </w:rPr>
          <w:t xml:space="preserve">4.2 Cercare, filtrare e sfogliare l’elenco</w:t>
        </w:r>
      </w:hyperlink>
    </w:p>
    <w:p>
      <w:pPr>
        <w:spacing w:after="20" w:before="0"/>
        <w:ind w:left="360"/>
      </w:pPr>
      <w:hyperlink w:history="1" w:anchor="bm13">
        <w:r>
          <w:rPr>
            <w:b w:val="false"/>
            <w:bCs w:val="false"/>
            <w:color w:val="2A3340"/>
            <w:sz w:val="20"/>
            <w:szCs w:val="20"/>
          </w:rPr>
          <w:t xml:space="preserve">4.3 Modificare o annullare una nave</w:t>
        </w:r>
      </w:hyperlink>
    </w:p>
    <w:p>
      <w:pPr>
        <w:spacing w:after="50" w:before="90"/>
        <w:ind w:left="0"/>
      </w:pPr>
      <w:hyperlink w:history="1" w:anchor="bm14">
        <w:r>
          <w:rPr>
            <w:b/>
            <w:bCs/>
            <w:color w:val="0A1628"/>
            <w:sz w:val="22"/>
            <w:szCs w:val="22"/>
          </w:rPr>
          <w:t xml:space="preserve">5. Guida per lo Scheduler</w:t>
        </w:r>
      </w:hyperlink>
    </w:p>
    <w:p>
      <w:pPr>
        <w:spacing w:after="20" w:before="0"/>
        <w:ind w:left="360"/>
      </w:pPr>
      <w:hyperlink w:history="1" w:anchor="bm15">
        <w:r>
          <w:rPr>
            <w:b w:val="false"/>
            <w:bCs w:val="false"/>
            <w:color w:val="2A3340"/>
            <w:sz w:val="20"/>
            <w:szCs w:val="20"/>
          </w:rPr>
          <w:t xml:space="preserve">5.1 Assegnare una nave</w:t>
        </w:r>
      </w:hyperlink>
    </w:p>
    <w:p>
      <w:pPr>
        <w:spacing w:after="20" w:before="0"/>
        <w:ind w:left="360"/>
      </w:pPr>
      <w:hyperlink w:history="1" w:anchor="bm16">
        <w:r>
          <w:rPr>
            <w:b w:val="false"/>
            <w:bCs w:val="false"/>
            <w:color w:val="2A3340"/>
            <w:sz w:val="20"/>
            <w:szCs w:val="20"/>
          </w:rPr>
          <w:t xml:space="preserve">5.2 Leggere la timeline delle banchine</w:t>
        </w:r>
      </w:hyperlink>
    </w:p>
    <w:p>
      <w:pPr>
        <w:spacing w:after="20" w:before="0"/>
        <w:ind w:left="360"/>
      </w:pPr>
      <w:hyperlink w:history="1" w:anchor="bm17">
        <w:r>
          <w:rPr>
            <w:b w:val="false"/>
            <w:bCs w:val="false"/>
            <w:color w:val="2A3340"/>
            <w:sz w:val="20"/>
            <w:szCs w:val="20"/>
          </w:rPr>
          <w:t xml:space="preserve">5.3 Storico ed esportazione</w:t>
        </w:r>
      </w:hyperlink>
    </w:p>
    <w:p>
      <w:pPr>
        <w:spacing w:after="20" w:before="0"/>
        <w:ind w:left="360"/>
      </w:pPr>
      <w:hyperlink w:history="1" w:anchor="bm18">
        <w:r>
          <w:rPr>
            <w:b w:val="false"/>
            <w:bCs w:val="false"/>
            <w:color w:val="2A3340"/>
            <w:sz w:val="20"/>
            <w:szCs w:val="20"/>
          </w:rPr>
          <w:t xml:space="preserve">5.4 Correggere un’assegnazione prima dell’inizio</w:t>
        </w:r>
      </w:hyperlink>
    </w:p>
    <w:p>
      <w:pPr>
        <w:spacing w:after="50" w:before="90"/>
        <w:ind w:left="0"/>
      </w:pPr>
      <w:hyperlink w:history="1" w:anchor="bm19">
        <w:r>
          <w:rPr>
            <w:b/>
            <w:bCs/>
            <w:color w:val="0A1628"/>
            <w:sz w:val="22"/>
            <w:szCs w:val="22"/>
          </w:rPr>
          <w:t xml:space="preserve">6. Guida per l’Admin</w:t>
        </w:r>
      </w:hyperlink>
    </w:p>
    <w:p>
      <w:pPr>
        <w:spacing w:after="20" w:before="0"/>
        <w:ind w:left="360"/>
      </w:pPr>
      <w:hyperlink w:history="1" w:anchor="bm20">
        <w:r>
          <w:rPr>
            <w:b w:val="false"/>
            <w:bCs w:val="false"/>
            <w:color w:val="2A3340"/>
            <w:sz w:val="20"/>
            <w:szCs w:val="20"/>
          </w:rPr>
          <w:t xml:space="preserve">6.1 Gestione utenti</w:t>
        </w:r>
      </w:hyperlink>
    </w:p>
    <w:p>
      <w:pPr>
        <w:spacing w:after="20" w:before="0"/>
        <w:ind w:left="360"/>
      </w:pPr>
      <w:hyperlink w:history="1" w:anchor="bm21">
        <w:r>
          <w:rPr>
            <w:b w:val="false"/>
            <w:bCs w:val="false"/>
            <w:color w:val="2A3340"/>
            <w:sz w:val="20"/>
            <w:szCs w:val="20"/>
          </w:rPr>
          <w:t xml:space="preserve">6.2 Manutenzioni delle banchine</w:t>
        </w:r>
      </w:hyperlink>
    </w:p>
    <w:p>
      <w:pPr>
        <w:spacing w:after="20" w:before="0"/>
        <w:ind w:left="360"/>
      </w:pPr>
      <w:hyperlink w:history="1" w:anchor="bm22">
        <w:r>
          <w:rPr>
            <w:b w:val="false"/>
            <w:bCs w:val="false"/>
            <w:color w:val="2A3340"/>
            <w:sz w:val="20"/>
            <w:szCs w:val="20"/>
          </w:rPr>
          <w:t xml:space="preserve">6.3 Archivio navi partite</w:t>
        </w:r>
      </w:hyperlink>
    </w:p>
    <w:p>
      <w:pPr>
        <w:spacing w:after="20" w:before="0"/>
        <w:ind w:left="360"/>
      </w:pPr>
      <w:hyperlink w:history="1" w:anchor="bm23">
        <w:r>
          <w:rPr>
            <w:b w:val="false"/>
            <w:bCs w:val="false"/>
            <w:color w:val="2A3340"/>
            <w:sz w:val="20"/>
            <w:szCs w:val="20"/>
          </w:rPr>
          <w:t xml:space="preserve">6.4 Reset della simulazione</w:t>
        </w:r>
      </w:hyperlink>
    </w:p>
    <w:p>
      <w:pPr>
        <w:spacing w:after="50" w:before="90"/>
        <w:ind w:left="0"/>
      </w:pPr>
      <w:hyperlink w:history="1" w:anchor="bm24">
        <w:r>
          <w:rPr>
            <w:b/>
            <w:bCs/>
            <w:color w:val="0A1628"/>
            <w:sz w:val="22"/>
            <w:szCs w:val="22"/>
          </w:rPr>
          <w:t xml:space="preserve">7. La barra in alto</w:t>
        </w:r>
      </w:hyperlink>
    </w:p>
    <w:p>
      <w:pPr>
        <w:spacing w:after="50" w:before="90"/>
        <w:ind w:left="0"/>
      </w:pPr>
      <w:hyperlink w:history="1" w:anchor="bm25">
        <w:r>
          <w:rPr>
            <w:b/>
            <w:bCs/>
            <w:color w:val="0A1628"/>
            <w:sz w:val="22"/>
            <w:szCs w:val="22"/>
          </w:rPr>
          <w:t xml:space="preserve">8. Domande frequenti</w:t>
        </w:r>
      </w:hyperlink>
    </w:p>
    <w:p>
      <w:pPr>
        <w:spacing w:after="50" w:before="90"/>
        <w:ind w:left="0"/>
      </w:pPr>
      <w:hyperlink w:history="1" w:anchor="bm26">
        <w:r>
          <w:rPr>
            <w:b/>
            <w:bCs/>
            <w:color w:val="0A1628"/>
            <w:sz w:val="22"/>
            <w:szCs w:val="22"/>
          </w:rPr>
          <w:t xml:space="preserve">9. Assistenza e contatti</w:t>
        </w:r>
      </w:hyperlink>
    </w:p>
    <w:p>
      <w:r>
        <w:br w:type="page"/>
      </w:r>
    </w:p>
    <w:p>
      <w:pPr>
        <w:pStyle w:val="Heading1"/>
      </w:pPr>
      <w:bookmarkStart w:name="bm1" w:id="1"/>
      <w:r>
        <w:t xml:space="preserve">1. Che cos’è BlueHarbor</w:t>
      </w:r>
      <w:bookmarkEnd w:id="1"/>
    </w:p>
    <w:p>
      <w:pPr>
        <w:spacing w:after="120" w:line="276"/>
      </w:pPr>
      <w:r>
        <w:t xml:space="preserve">BlueHarbor Terminal è l’applicazione web con cui il personale del terminal gestisce l’arrivo delle navi e l’uso delle banchine, al posto dei fogli e delle telefonate. Tutto avviene in un’unica schermata, semplice e guidata.</w:t>
      </w:r>
    </w:p>
    <w:p>
      <w:pPr>
        <w:spacing w:after="120" w:line="276"/>
      </w:pPr>
      <w:r>
        <w:t xml:space="preserve">L’applicazione ha tre profili di utente. In base al profilo con cui si accede, l’applicazione mostra le funzioni adatte:</w:t>
      </w:r>
    </w:p>
    <w:tbl>
      <w:tblPr>
        <w:tblW w:type="pct" w:w="100%"/>
        <w:tblBorders>
          <w:top w:val="single" w:color="D5DAE2" w:sz="4"/>
          <w:left w:val="single" w:color="D5DAE2" w:sz="4"/>
          <w:bottom w:val="single" w:color="D5DAE2" w:sz="4"/>
          <w:right w:val="single" w:color="D5DAE2" w:sz="4"/>
          <w:insideH w:val="single" w:color="D5DAE2" w:sz="4"/>
          <w:insideV w:val="single" w:color="D5DAE2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0A16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Profilo</w:t>
            </w:r>
          </w:p>
        </w:tc>
        <w:tc>
          <w:tcPr>
            <w:tcW w:type="pct" w:w="70%"/>
            <w:shd w:fill="0A16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 cosa serve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Operatore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Registra le navi in arrivo e ne tiene aggiornate le informazioni.</w:t>
            </w:r>
          </w:p>
        </w:tc>
      </w:tr>
      <w:tr>
        <w:tc>
          <w:tcPr>
            <w:tcW w:type="pct" w:w="30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Scheduler (pianificatore)</w:t>
            </w:r>
          </w:p>
        </w:tc>
        <w:tc>
          <w:tcPr>
            <w:tcW w:type="pct" w:w="70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Assegna le navi alle banchine e tiene sotto controllo occupazioni e storico.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Admin (amministratore)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Gestisce gli utenti e le manutenzioni delle banchine; può usare anche le funzioni di Operatore e Scheduler.</w:t>
            </w:r>
          </w:p>
        </w:tc>
      </w:tr>
    </w:tbl>
    <w:p>
      <w:pPr>
        <w:pStyle w:val="Heading1"/>
      </w:pPr>
      <w:bookmarkStart w:name="bm2" w:id="1"/>
      <w:r>
        <w:t xml:space="preserve">2. Primo accesso</w:t>
      </w:r>
      <w:bookmarkEnd w:id="1"/>
    </w:p>
    <w:p>
      <w:pPr>
        <w:pStyle w:val="Heading2"/>
      </w:pPr>
      <w:bookmarkStart w:name="bm3" w:id="1"/>
      <w:r>
        <w:t xml:space="preserve">2.1 Aprire l’applicazione ed entrare</w:t>
      </w:r>
      <w:bookmarkEnd w:id="1"/>
    </w:p>
    <w:p>
      <w:pPr>
        <w:spacing w:after="80" w:line="268"/>
      </w:pPr>
      <w:r>
        <w:rPr>
          <w:b/>
          <w:bCs/>
          <w:color w:val="A8863F"/>
        </w:rPr>
        <w:t xml:space="preserve">1. </w:t>
      </w:r>
      <w:r>
        <w:t xml:space="preserve">Aprire il browser (Chrome, Edge o Firefox) e andare all’indirizzo dell’applicazione fornito dall’amministratore.</w:t>
      </w:r>
    </w:p>
    <w:p>
      <w:pPr>
        <w:spacing w:after="80" w:line="268"/>
      </w:pPr>
      <w:r>
        <w:rPr>
          <w:b/>
          <w:bCs/>
          <w:color w:val="A8863F"/>
        </w:rPr>
        <w:t xml:space="preserve">2. </w:t>
      </w:r>
      <w:r>
        <w:t xml:space="preserve">Inserire </w:t>
      </w:r>
      <w:r>
        <w:rPr>
          <w:b/>
          <w:bCs/>
        </w:rPr>
        <w:t xml:space="preserve">email</w:t>
      </w:r>
      <w:r>
        <w:t xml:space="preserve"> e </w:t>
      </w:r>
      <w:r>
        <w:rPr>
          <w:b/>
          <w:bCs/>
        </w:rPr>
        <w:t xml:space="preserve">password</w:t>
      </w:r>
      <w:r>
        <w:t xml:space="preserve"> del proprio account e premere </w:t>
      </w:r>
      <w:r>
        <w:rPr>
          <w:b/>
          <w:bCs/>
        </w:rPr>
        <w:t xml:space="preserve">Entra</w:t>
      </w:r>
      <w:r>
        <w:t xml:space="preserve">.</w:t>
      </w:r>
    </w:p>
    <w:p>
      <w:pPr>
        <w:spacing w:after="80" w:line="268"/>
      </w:pPr>
      <w:r>
        <w:rPr>
          <w:b/>
          <w:bCs/>
          <w:color w:val="A8863F"/>
        </w:rPr>
        <w:t xml:space="preserve">3. </w:t>
      </w:r>
      <w:r>
        <w:t xml:space="preserve">Si apre automaticamente la schermata adatta al proprio profilo.</w:t>
      </w:r>
    </w:p>
    <w:tbl>
      <w:tblPr>
        <w:tblW w:type="pct" w:w="100%"/>
        <w:tblBorders>
          <w:top w:val="none"/>
          <w:left w:val="single" w:color="C8A45A" w:sz="24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F3F5F8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A1628"/>
              </w:rPr>
              <w:t xml:space="preserve">Suggerimento</w:t>
            </w:r>
          </w:p>
          <w:p>
            <w:pPr>
              <w:spacing w:after="0"/>
            </w:pPr>
            <w:r>
              <w:t xml:space="preserve">Chiudere e riaprire il browser non richiede di rifare l’accesso subito: la sessione resta valida per un po’. Per uscire in sicurezza usare il pulsante Esci in alto a destra.</w:t>
            </w:r>
          </w:p>
        </w:tc>
      </w:tr>
    </w:tbl>
    <w:tbl>
      <w:tblPr>
        <w:tblW w:type="pct" w:w="100%"/>
        <w:tblBorders>
          <w:top w:val="dashed" w:color="A8863F" w:sz="8"/>
          <w:left w:val="dashed" w:color="A8863F" w:sz="8"/>
          <w:bottom w:val="dashed" w:color="A8863F" w:sz="8"/>
          <w:right w:val="dashed" w:color="A8863F" w:sz="8"/>
          <w:insideH w:val="dashed" w:color="A8863F" w:sz="8"/>
          <w:insideV w:val="dashed" w:color="A8863F" w:sz="8"/>
        </w:tblBorders>
      </w:tblPr>
      <w:tblGrid>
        <w:gridCol w:w="100"/>
      </w:tblGrid>
      <w:tr>
        <w:tc>
          <w:tcPr>
            <w:shd w:fill="FAFBFD" w:color="auto" w:val="clear"/>
            <w:tcMar>
              <w:top w:type="dxa" w:w="360"/>
              <w:left w:type="dxa" w:w="120"/>
              <w:bottom w:type="dxa" w:w="360"/>
              <w:right w:type="dxa" w:w="12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A8863F"/>
                <w:sz w:val="22"/>
                <w:szCs w:val="22"/>
              </w:rPr>
              <w:t xml:space="preserve">🖼  Schermata</w:t>
            </w:r>
          </w:p>
          <w:p>
            <w:pPr>
              <w:spacing w:after="0"/>
              <w:jc w:val="center"/>
            </w:pPr>
            <w:r>
              <w:rPr>
                <w:color w:val="5B6470"/>
                <w:sz w:val="19"/>
                <w:szCs w:val="19"/>
              </w:rPr>
              <w:t xml:space="preserve">Pagina di accesso (login) con selettore lingua e tema</w:t>
            </w:r>
          </w:p>
          <w:p>
            <w:pPr>
              <w:spacing w:after="0" w:before="20"/>
              <w:jc w:val="center"/>
            </w:pPr>
            <w:r>
              <w:rPr>
                <w:i/>
                <w:iCs/>
                <w:color w:val="9AA3AF"/>
                <w:sz w:val="16"/>
                <w:szCs w:val="16"/>
              </w:rPr>
              <w:t xml:space="preserve">(inserire qui lo screenshot)</w:t>
            </w:r>
          </w:p>
        </w:tc>
      </w:tr>
    </w:tbl>
    <w:p>
      <w:pPr>
        <w:spacing w:after="80"/>
      </w:pPr>
    </w:p>
    <w:p>
      <w:pPr>
        <w:pStyle w:val="Heading2"/>
      </w:pPr>
      <w:bookmarkStart w:name="bm4" w:id="1"/>
      <w:r>
        <w:t xml:space="preserve">2.2 Account dimostrativi</w:t>
      </w:r>
      <w:bookmarkEnd w:id="1"/>
    </w:p>
    <w:p>
      <w:pPr>
        <w:spacing w:after="120" w:line="276"/>
      </w:pPr>
      <w:r>
        <w:t xml:space="preserve">Per le prove sono disponibili tre account già pronti:</w:t>
      </w:r>
    </w:p>
    <w:tbl>
      <w:tblPr>
        <w:tblW w:type="pct" w:w="100%"/>
        <w:tblBorders>
          <w:top w:val="single" w:color="D5DAE2" w:sz="4"/>
          <w:left w:val="single" w:color="D5DAE2" w:sz="4"/>
          <w:bottom w:val="single" w:color="D5DAE2" w:sz="4"/>
          <w:right w:val="single" w:color="D5DAE2" w:sz="4"/>
          <w:insideH w:val="single" w:color="D5DAE2" w:sz="4"/>
          <w:insideV w:val="single" w:color="D5DAE2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0A16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Profilo</w:t>
            </w:r>
          </w:p>
        </w:tc>
        <w:tc>
          <w:tcPr>
            <w:tcW w:type="pct" w:w="46%"/>
            <w:shd w:fill="0A16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Email</w:t>
            </w:r>
          </w:p>
        </w:tc>
        <w:tc>
          <w:tcPr>
            <w:tcW w:type="pct" w:w="30%"/>
            <w:shd w:fill="0A16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Password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Operatore</w:t>
            </w:r>
          </w:p>
        </w:tc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operator@blueharbor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operator123</w:t>
            </w:r>
          </w:p>
        </w:tc>
      </w:tr>
      <w:tr>
        <w:tc>
          <w:tcPr>
            <w:tcW w:type="pct" w:w="24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Scheduler</w:t>
            </w:r>
          </w:p>
        </w:tc>
        <w:tc>
          <w:tcPr>
            <w:tcW w:type="pct" w:w="46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scheduler@blueharbor</w:t>
            </w:r>
          </w:p>
        </w:tc>
        <w:tc>
          <w:tcPr>
            <w:tcW w:type="pct" w:w="30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scheduler123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Admin</w:t>
            </w:r>
          </w:p>
        </w:tc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admin@blueharbor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admin123</w:t>
            </w:r>
          </w:p>
        </w:tc>
      </w:tr>
    </w:tbl>
    <w:p>
      <w:pPr>
        <w:pStyle w:val="Heading2"/>
      </w:pPr>
      <w:bookmarkStart w:name="bm5" w:id="1"/>
      <w:r>
        <w:t xml:space="preserve">2.3 Lingua e tema</w:t>
      </w:r>
      <w:bookmarkEnd w:id="1"/>
    </w:p>
    <w:p>
      <w:pPr>
        <w:spacing w:after="120" w:line="276"/>
      </w:pPr>
      <w:r>
        <w:rPr>
          <w:b/>
          <w:bCs/>
        </w:rPr>
        <w:t xml:space="preserve">Lingua. </w:t>
      </w:r>
      <w:r>
        <w:t xml:space="preserve">In alto a destra (e anche nella pagina di accesso) c’è il selettore </w:t>
      </w:r>
      <w:r>
        <w:rPr>
          <w:b/>
          <w:bCs/>
        </w:rPr>
        <w:t xml:space="preserve">IT | EN</w:t>
      </w:r>
      <w:r>
        <w:t xml:space="preserve">: l’intera applicazione passa da italiano a inglese e viceversa. La scelta viene ricordata.</w:t>
      </w:r>
    </w:p>
    <w:p>
      <w:pPr>
        <w:spacing w:after="120" w:line="276"/>
      </w:pPr>
      <w:r>
        <w:rPr>
          <w:b/>
          <w:bCs/>
        </w:rPr>
        <w:t xml:space="preserve">Tema. </w:t>
      </w:r>
      <w:r>
        <w:t xml:space="preserve">Il pulsante con il simbolo ☾ / ☀ passa dal tema chiaro a quello scuro. Anche questa scelta viene ricordata.</w:t>
      </w:r>
    </w:p>
    <w:p>
      <w:r>
        <w:br w:type="page"/>
      </w:r>
    </w:p>
    <w:p>
      <w:pPr>
        <w:pStyle w:val="Heading1"/>
      </w:pPr>
      <w:bookmarkStart w:name="bm6" w:id="1"/>
      <w:r>
        <w:t xml:space="preserve">3. Concetti di base (in parole semplici)</w:t>
      </w:r>
      <w:bookmarkEnd w:id="1"/>
    </w:p>
    <w:p>
      <w:pPr>
        <w:pStyle w:val="Heading2"/>
      </w:pPr>
      <w:bookmarkStart w:name="bm7" w:id="1"/>
      <w:r>
        <w:t xml:space="preserve">3.1 Il tempo: giorno virtuale e "Next Day"</w:t>
      </w:r>
      <w:bookmarkEnd w:id="1"/>
    </w:p>
    <w:p>
      <w:pPr>
        <w:spacing w:after="120" w:line="276"/>
      </w:pPr>
      <w:r>
        <w:t xml:space="preserve">BlueHarbor non usa l’orologio reale. Lavora con un "giorno virtuale": un contatore di giornate. Per far avanzare il tempo di un giorno si preme il pulsante </w:t>
      </w:r>
      <w:r>
        <w:rPr>
          <w:b/>
          <w:bCs/>
        </w:rPr>
        <w:t xml:space="preserve">Next Day</w:t>
      </w:r>
      <w:r>
        <w:t xml:space="preserve"> in alto. Avanzando il giorno, le navi che hanno finito la loro sosta risultano automaticamente "Partite" e liberano la banchina. Non si gestiscono ore o minuti.</w:t>
      </w:r>
    </w:p>
    <w:p>
      <w:pPr>
        <w:pStyle w:val="Heading2"/>
      </w:pPr>
      <w:bookmarkStart w:name="bm8" w:id="1"/>
      <w:r>
        <w:t xml:space="preserve">3.2 Le taglie e le banchine</w:t>
      </w:r>
      <w:bookmarkEnd w:id="1"/>
    </w:p>
    <w:p>
      <w:pPr>
        <w:spacing w:after="120" w:line="276"/>
      </w:pPr>
      <w:r>
        <w:t xml:space="preserve">Ogni nave ha una taglia: S, M, L o XL. Il terminal ha 8 banchine fisse e ognuna accetta solo navi della propria taglia:</w:t>
      </w:r>
    </w:p>
    <w:tbl>
      <w:tblPr>
        <w:tblW w:type="pct" w:w="100%"/>
        <w:tblBorders>
          <w:top w:val="single" w:color="D5DAE2" w:sz="4"/>
          <w:left w:val="single" w:color="D5DAE2" w:sz="4"/>
          <w:bottom w:val="single" w:color="D5DAE2" w:sz="4"/>
          <w:right w:val="single" w:color="D5DAE2" w:sz="4"/>
          <w:insideH w:val="single" w:color="D5DAE2" w:sz="4"/>
          <w:insideV w:val="single" w:color="D5DAE2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0A16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Taglia</w:t>
            </w:r>
          </w:p>
        </w:tc>
        <w:tc>
          <w:tcPr>
            <w:tcW w:type="pct" w:w="30%"/>
            <w:shd w:fill="0A16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Quante banchine</w:t>
            </w:r>
          </w:p>
        </w:tc>
        <w:tc>
          <w:tcPr>
            <w:tcW w:type="pct" w:w="50%"/>
            <w:shd w:fill="0A16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Nomi</w:t>
            </w:r>
          </w:p>
        </w:tc>
      </w:tr>
      <w:tr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XL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XL-1</w:t>
            </w:r>
          </w:p>
        </w:tc>
      </w:tr>
      <w:tr>
        <w:tc>
          <w:tcPr>
            <w:tcW w:type="pct" w:w="20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L</w:t>
            </w:r>
          </w:p>
        </w:tc>
        <w:tc>
          <w:tcPr>
            <w:tcW w:type="pct" w:w="30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pct" w:w="50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L-1</w:t>
            </w:r>
          </w:p>
        </w:tc>
      </w:tr>
      <w:tr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M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M-1, M-2</w:t>
            </w:r>
          </w:p>
        </w:tc>
      </w:tr>
      <w:tr>
        <w:tc>
          <w:tcPr>
            <w:tcW w:type="pct" w:w="20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S</w:t>
            </w:r>
          </w:p>
        </w:tc>
        <w:tc>
          <w:tcPr>
            <w:tcW w:type="pct" w:w="30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type="pct" w:w="50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S-1, S-2, S-3, S-4</w:t>
            </w:r>
          </w:p>
        </w:tc>
      </w:tr>
    </w:tbl>
    <w:p>
      <w:pPr>
        <w:pStyle w:val="Heading2"/>
      </w:pPr>
      <w:bookmarkStart w:name="bm9" w:id="1"/>
      <w:r>
        <w:t xml:space="preserve">3.3 Gli stati di una nave</w:t>
      </w:r>
      <w:bookmarkEnd w:id="1"/>
    </w:p>
    <w:tbl>
      <w:tblPr>
        <w:tblW w:type="pct" w:w="100%"/>
        <w:tblBorders>
          <w:top w:val="single" w:color="D5DAE2" w:sz="4"/>
          <w:left w:val="single" w:color="D5DAE2" w:sz="4"/>
          <w:bottom w:val="single" w:color="D5DAE2" w:sz="4"/>
          <w:right w:val="single" w:color="D5DAE2" w:sz="4"/>
          <w:insideH w:val="single" w:color="D5DAE2" w:sz="4"/>
          <w:insideV w:val="single" w:color="D5DAE2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0A16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Stato</w:t>
            </w:r>
          </w:p>
        </w:tc>
        <w:tc>
          <w:tcPr>
            <w:tcW w:type="pct" w:w="70%"/>
            <w:shd w:fill="0A16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Significato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In attesa (Pending)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La nave è stata registrata ma non ha ancora una banchina.</w:t>
            </w:r>
          </w:p>
        </w:tc>
      </w:tr>
      <w:tr>
        <w:tc>
          <w:tcPr>
            <w:tcW w:type="pct" w:w="30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Assegnata (Assigned)</w:t>
            </w:r>
          </w:p>
        </w:tc>
        <w:tc>
          <w:tcPr>
            <w:tcW w:type="pct" w:w="70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La nave ha una banchina e un periodo di occupazione.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Partita (Departed)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La sosta è conclusa: la nave ha lasciato la banchina.</w:t>
            </w:r>
          </w:p>
        </w:tc>
      </w:tr>
    </w:tbl>
    <w:p>
      <w:r>
        <w:br w:type="page"/>
      </w:r>
    </w:p>
    <w:p>
      <w:pPr>
        <w:pStyle w:val="Heading1"/>
      </w:pPr>
      <w:bookmarkStart w:name="bm10" w:id="1"/>
      <w:r>
        <w:t xml:space="preserve">4. Guida per l’Operatore</w:t>
      </w:r>
      <w:bookmarkEnd w:id="1"/>
    </w:p>
    <w:p>
      <w:pPr>
        <w:pStyle w:val="Heading2"/>
      </w:pPr>
      <w:bookmarkStart w:name="bm11" w:id="1"/>
      <w:r>
        <w:t xml:space="preserve">4.1 Registrare una nuova nave</w:t>
      </w:r>
      <w:bookmarkEnd w:id="1"/>
    </w:p>
    <w:p>
      <w:pPr>
        <w:spacing w:after="120" w:line="276"/>
      </w:pPr>
      <w:r>
        <w:t xml:space="preserve">L’Operatore inserisce solo il nome (e facoltativamente delle note): taglia, giorno di arrivo e durata della sosta li assegna automaticamente il sistema.</w:t>
      </w:r>
    </w:p>
    <w:p>
      <w:pPr>
        <w:spacing w:after="80" w:line="268"/>
      </w:pPr>
      <w:r>
        <w:rPr>
          <w:b/>
          <w:bCs/>
          <w:color w:val="A8863F"/>
        </w:rPr>
        <w:t xml:space="preserve">1. </w:t>
      </w:r>
      <w:r>
        <w:t xml:space="preserve">Nel riquadro </w:t>
      </w:r>
      <w:r>
        <w:rPr>
          <w:b/>
          <w:bCs/>
        </w:rPr>
        <w:t xml:space="preserve">Registra nave</w:t>
      </w:r>
      <w:r>
        <w:t xml:space="preserve">, scrivere il </w:t>
      </w:r>
      <w:r>
        <w:rPr>
          <w:b/>
          <w:bCs/>
        </w:rPr>
        <w:t xml:space="preserve">nome</w:t>
      </w:r>
      <w:r>
        <w:t xml:space="preserve"> della nave (il pulsante 🎲 propone un nome a caso).</w:t>
      </w:r>
    </w:p>
    <w:p>
      <w:pPr>
        <w:spacing w:after="80" w:line="268"/>
      </w:pPr>
      <w:r>
        <w:rPr>
          <w:b/>
          <w:bCs/>
          <w:color w:val="A8863F"/>
        </w:rPr>
        <w:t xml:space="preserve">2. </w:t>
      </w:r>
      <w:r>
        <w:t xml:space="preserve">Se serve, aggiungere una nota (es. "carico refrigerato").</w:t>
      </w:r>
    </w:p>
    <w:p>
      <w:pPr>
        <w:spacing w:after="80" w:line="268"/>
      </w:pPr>
      <w:r>
        <w:rPr>
          <w:b/>
          <w:bCs/>
          <w:color w:val="A8863F"/>
        </w:rPr>
        <w:t xml:space="preserve">3. </w:t>
      </w:r>
      <w:r>
        <w:t xml:space="preserve">Premere </w:t>
      </w:r>
      <w:r>
        <w:rPr>
          <w:b/>
          <w:bCs/>
        </w:rPr>
        <w:t xml:space="preserve">Registra</w:t>
      </w:r>
      <w:r>
        <w:t xml:space="preserve">. Compare un avviso con la taglia, il giorno di arrivo e la durata generati; la nuova nave viene evidenziata nell’elenco.</w:t>
      </w:r>
    </w:p>
    <w:tbl>
      <w:tblPr>
        <w:tblW w:type="pct" w:w="100%"/>
        <w:tblBorders>
          <w:top w:val="dashed" w:color="A8863F" w:sz="8"/>
          <w:left w:val="dashed" w:color="A8863F" w:sz="8"/>
          <w:bottom w:val="dashed" w:color="A8863F" w:sz="8"/>
          <w:right w:val="dashed" w:color="A8863F" w:sz="8"/>
          <w:insideH w:val="dashed" w:color="A8863F" w:sz="8"/>
          <w:insideV w:val="dashed" w:color="A8863F" w:sz="8"/>
        </w:tblBorders>
      </w:tblPr>
      <w:tblGrid>
        <w:gridCol w:w="100"/>
      </w:tblGrid>
      <w:tr>
        <w:tc>
          <w:tcPr>
            <w:shd w:fill="FAFBFD" w:color="auto" w:val="clear"/>
            <w:tcMar>
              <w:top w:type="dxa" w:w="360"/>
              <w:left w:type="dxa" w:w="120"/>
              <w:bottom w:type="dxa" w:w="360"/>
              <w:right w:type="dxa" w:w="12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A8863F"/>
                <w:sz w:val="22"/>
                <w:szCs w:val="22"/>
              </w:rPr>
              <w:t xml:space="preserve">🖼  Schermata</w:t>
            </w:r>
          </w:p>
          <w:p>
            <w:pPr>
              <w:spacing w:after="0"/>
              <w:jc w:val="center"/>
            </w:pPr>
            <w:r>
              <w:rPr>
                <w:color w:val="5B6470"/>
                <w:sz w:val="19"/>
                <w:szCs w:val="19"/>
              </w:rPr>
              <w:t xml:space="preserve">Vista Operatore: modulo "Registra nave" ed elenco navi</w:t>
            </w:r>
          </w:p>
          <w:p>
            <w:pPr>
              <w:spacing w:after="0" w:before="20"/>
              <w:jc w:val="center"/>
            </w:pPr>
            <w:r>
              <w:rPr>
                <w:i/>
                <w:iCs/>
                <w:color w:val="9AA3AF"/>
                <w:sz w:val="16"/>
                <w:szCs w:val="16"/>
              </w:rPr>
              <w:t xml:space="preserve">(inserire qui lo screenshot)</w:t>
            </w:r>
          </w:p>
        </w:tc>
      </w:tr>
    </w:tbl>
    <w:p>
      <w:pPr>
        <w:spacing w:after="80"/>
      </w:pPr>
    </w:p>
    <w:p>
      <w:pPr>
        <w:pStyle w:val="Heading2"/>
      </w:pPr>
      <w:bookmarkStart w:name="bm12" w:id="1"/>
      <w:r>
        <w:t xml:space="preserve">4.2 Cercare, filtrare e sfogliare l’elenco</w:t>
      </w:r>
      <w:bookmarkEnd w:id="1"/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Cerca</w:t>
      </w:r>
      <w:r>
        <w:t xml:space="preserve"> — digitare parte del nome per trovare una nave.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Stato / Taglia</w:t>
      </w:r>
      <w:r>
        <w:t xml:space="preserve"> — i menù a tendina filtrano l’elenco (es. solo "In attesa" o solo taglia "M").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Pagine</w:t>
      </w:r>
      <w:r>
        <w:t xml:space="preserve"> — se le navi sono molte, usare "Precedente" e "Successiva" in fondo.</w:t>
      </w:r>
    </w:p>
    <w:p>
      <w:pPr>
        <w:pStyle w:val="Heading2"/>
      </w:pPr>
      <w:bookmarkStart w:name="bm13" w:id="1"/>
      <w:r>
        <w:t xml:space="preserve">4.3 Modificare o annullare una nave</w:t>
      </w:r>
      <w:bookmarkEnd w:id="1"/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Modifica</w:t>
      </w:r>
      <w:r>
        <w:t xml:space="preserve"> — il pulsante </w:t>
      </w:r>
      <w:r>
        <w:rPr>
          <w:b/>
          <w:bCs/>
        </w:rPr>
        <w:t xml:space="preserve">Modifica</w:t>
      </w:r>
      <w:r>
        <w:t xml:space="preserve"> su una riga permette di correggere nome e note.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Annulla</w:t>
      </w:r>
      <w:r>
        <w:t xml:space="preserve"> — una nave può essere </w:t>
      </w:r>
      <w:r>
        <w:rPr>
          <w:b/>
          <w:bCs/>
        </w:rPr>
        <w:t xml:space="preserve">annullata solo finché è "In attesa"</w:t>
      </w:r>
      <w:r>
        <w:t xml:space="preserve"> (non ancora assegnata). L’operazione è definitiva e viene chiesta conferma.</w:t>
      </w:r>
    </w:p>
    <w:p>
      <w:r>
        <w:br w:type="page"/>
      </w:r>
    </w:p>
    <w:p>
      <w:pPr>
        <w:pStyle w:val="Heading1"/>
      </w:pPr>
      <w:bookmarkStart w:name="bm14" w:id="1"/>
      <w:r>
        <w:t xml:space="preserve">5. Guida per lo Scheduler</w:t>
      </w:r>
      <w:bookmarkEnd w:id="1"/>
    </w:p>
    <w:p>
      <w:pPr>
        <w:spacing w:after="120" w:line="276"/>
      </w:pPr>
      <w:r>
        <w:t xml:space="preserve">Lo Scheduler assegna le navi in attesa alle banchine. L’applicazione guida la scelta e mostra un’anteprima, così è difficile sbagliare.</w:t>
      </w:r>
    </w:p>
    <w:p>
      <w:pPr>
        <w:pStyle w:val="Heading2"/>
      </w:pPr>
      <w:bookmarkStart w:name="bm15" w:id="1"/>
      <w:r>
        <w:t xml:space="preserve">5.1 Assegnare una nave</w:t>
      </w:r>
      <w:bookmarkEnd w:id="1"/>
    </w:p>
    <w:p>
      <w:pPr>
        <w:spacing w:after="80" w:line="268"/>
      </w:pPr>
      <w:r>
        <w:rPr>
          <w:b/>
          <w:bCs/>
          <w:color w:val="A8863F"/>
        </w:rPr>
        <w:t xml:space="preserve">1. </w:t>
      </w:r>
      <w:r>
        <w:t xml:space="preserve">Nel pannello </w:t>
      </w:r>
      <w:r>
        <w:rPr>
          <w:b/>
          <w:bCs/>
        </w:rPr>
        <w:t xml:space="preserve">Navi in attesa</w:t>
      </w:r>
      <w:r>
        <w:t xml:space="preserve"> (a sinistra) selezionare la nave da assegnare.</w:t>
      </w:r>
    </w:p>
    <w:p>
      <w:pPr>
        <w:spacing w:after="80" w:line="268"/>
      </w:pPr>
      <w:r>
        <w:rPr>
          <w:b/>
          <w:bCs/>
          <w:color w:val="A8863F"/>
        </w:rPr>
        <w:t xml:space="preserve">2. </w:t>
      </w:r>
      <w:r>
        <w:t xml:space="preserve">Nella timeline si evidenziano SOLO le banchine compatibili per taglia, con un’anteprima tratteggiata del primo giorno libero.</w:t>
      </w:r>
    </w:p>
    <w:p>
      <w:pPr>
        <w:spacing w:after="80" w:line="268"/>
      </w:pPr>
      <w:r>
        <w:rPr>
          <w:b/>
          <w:bCs/>
          <w:color w:val="A8863F"/>
        </w:rPr>
        <w:t xml:space="preserve">3. </w:t>
      </w:r>
      <w:r>
        <w:t xml:space="preserve">Premere </w:t>
      </w:r>
      <w:r>
        <w:rPr>
          <w:b/>
          <w:bCs/>
        </w:rPr>
        <w:t xml:space="preserve">Assegna</w:t>
      </w:r>
      <w:r>
        <w:t xml:space="preserve"> sulla banchina scelta. Compare la conferma con il giorno di inizio occupazione; la nave passa a "Assegnata".</w:t>
      </w:r>
    </w:p>
    <w:tbl>
      <w:tblPr>
        <w:tblW w:type="pct" w:w="100%"/>
        <w:tblBorders>
          <w:top w:val="dashed" w:color="A8863F" w:sz="8"/>
          <w:left w:val="dashed" w:color="A8863F" w:sz="8"/>
          <w:bottom w:val="dashed" w:color="A8863F" w:sz="8"/>
          <w:right w:val="dashed" w:color="A8863F" w:sz="8"/>
          <w:insideH w:val="dashed" w:color="A8863F" w:sz="8"/>
          <w:insideV w:val="dashed" w:color="A8863F" w:sz="8"/>
        </w:tblBorders>
      </w:tblPr>
      <w:tblGrid>
        <w:gridCol w:w="100"/>
      </w:tblGrid>
      <w:tr>
        <w:tc>
          <w:tcPr>
            <w:shd w:fill="FAFBFD" w:color="auto" w:val="clear"/>
            <w:tcMar>
              <w:top w:type="dxa" w:w="360"/>
              <w:left w:type="dxa" w:w="120"/>
              <w:bottom w:type="dxa" w:w="360"/>
              <w:right w:type="dxa" w:w="12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A8863F"/>
                <w:sz w:val="22"/>
                <w:szCs w:val="22"/>
              </w:rPr>
              <w:t xml:space="preserve">🖼  Schermata</w:t>
            </w:r>
          </w:p>
          <w:p>
            <w:pPr>
              <w:spacing w:after="0"/>
              <w:jc w:val="center"/>
            </w:pPr>
            <w:r>
              <w:rPr>
                <w:color w:val="5B6470"/>
                <w:sz w:val="19"/>
                <w:szCs w:val="19"/>
              </w:rPr>
              <w:t xml:space="preserve">Vista Scheduler: nave selezionata, banchine compatibili e anteprima in timeline</w:t>
            </w:r>
          </w:p>
          <w:p>
            <w:pPr>
              <w:spacing w:after="0" w:before="20"/>
              <w:jc w:val="center"/>
            </w:pPr>
            <w:r>
              <w:rPr>
                <w:i/>
                <w:iCs/>
                <w:color w:val="9AA3AF"/>
                <w:sz w:val="16"/>
                <w:szCs w:val="16"/>
              </w:rPr>
              <w:t xml:space="preserve">(inserire qui lo screenshot)</w:t>
            </w:r>
          </w:p>
        </w:tc>
      </w:tr>
    </w:tbl>
    <w:p>
      <w:pPr>
        <w:spacing w:after="80"/>
      </w:pPr>
    </w:p>
    <w:p>
      <w:pPr>
        <w:pStyle w:val="Heading2"/>
      </w:pPr>
      <w:bookmarkStart w:name="bm16" w:id="1"/>
      <w:r>
        <w:t xml:space="preserve">5.2 Leggere la timeline delle banchine</w:t>
      </w:r>
      <w:bookmarkEnd w:id="1"/>
    </w:p>
    <w:p>
      <w:pPr>
        <w:spacing w:after="120" w:line="276"/>
      </w:pPr>
      <w:r>
        <w:t xml:space="preserve">La timeline mostra le banchine (una per riga) e i giorni (in colonna). I blocchi rappresentano:</w:t>
      </w:r>
    </w:p>
    <w:tbl>
      <w:tblPr>
        <w:tblW w:type="pct" w:w="100%"/>
        <w:tblBorders>
          <w:top w:val="single" w:color="D5DAE2" w:sz="4"/>
          <w:left w:val="single" w:color="D5DAE2" w:sz="4"/>
          <w:bottom w:val="single" w:color="D5DAE2" w:sz="4"/>
          <w:right w:val="single" w:color="D5DAE2" w:sz="4"/>
          <w:insideH w:val="single" w:color="D5DAE2" w:sz="4"/>
          <w:insideV w:val="single" w:color="D5DAE2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4%"/>
            <w:shd w:fill="0A16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Elemento</w:t>
            </w:r>
          </w:p>
        </w:tc>
        <w:tc>
          <w:tcPr>
            <w:tcW w:type="pct" w:w="66%"/>
            <w:shd w:fill="0A16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Significato</w:t>
            </w:r>
          </w:p>
        </w:tc>
      </w:tr>
      <w:tr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Occupazione</w:t>
            </w:r>
          </w:p>
        </w:tc>
        <w:tc>
          <w:tcPr>
            <w:tcW w:type="pct" w:w="6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La banchina è occupata da una nave in quel periodo.</w:t>
            </w:r>
          </w:p>
        </w:tc>
      </w:tr>
      <w:tr>
        <w:tc>
          <w:tcPr>
            <w:tcW w:type="pct" w:w="34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Manutenzione</w:t>
            </w:r>
          </w:p>
        </w:tc>
        <w:tc>
          <w:tcPr>
            <w:tcW w:type="pct" w:w="66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La banchina non è utilizzabile (finestra programmata dall’Admin).</w:t>
            </w:r>
          </w:p>
        </w:tc>
      </w:tr>
      <w:tr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Anteprima accodamento</w:t>
            </w:r>
          </w:p>
        </w:tc>
        <w:tc>
          <w:tcPr>
            <w:tcW w:type="pct" w:w="6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Blocco tratteggiato: dove finirebbe la nave selezionata.</w:t>
            </w:r>
          </w:p>
        </w:tc>
      </w:tr>
      <w:tr>
        <w:tc>
          <w:tcPr>
            <w:tcW w:type="pct" w:w="34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Oggi</w:t>
            </w:r>
          </w:p>
        </w:tc>
        <w:tc>
          <w:tcPr>
            <w:tcW w:type="pct" w:w="66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La colonna del giorno corrente è evidenziata.</w:t>
            </w:r>
          </w:p>
        </w:tc>
      </w:tr>
    </w:tbl>
    <w:p>
      <w:pPr>
        <w:spacing w:after="120" w:line="276"/>
      </w:pPr>
      <w:r>
        <w:t xml:space="preserve">La timeline mostra 14 giorni per volta ma è navigabile: usare le frecce ‹ › o il cursore per spostare la finestra nel tempo, e "oggi" per tornare al giorno corrente.</w:t>
      </w:r>
    </w:p>
    <w:tbl>
      <w:tblPr>
        <w:tblW w:type="pct" w:w="100%"/>
        <w:tblBorders>
          <w:top w:val="none"/>
          <w:left w:val="single" w:color="C8A45A" w:sz="24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F3F5F8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A1628"/>
              </w:rPr>
              <w:t xml:space="preserve">Accodamento (in parole semplici)</w:t>
            </w:r>
          </w:p>
          <w:p>
            <w:pPr>
              <w:spacing w:after="0"/>
            </w:pPr>
            <w:r>
              <w:t xml:space="preserve">Se la banchina è già occupata, la nave non viene rifiutata: viene messa "in coda" e parte dal primo giorno libero successivo. L’anteprima tratteggiata mostra esattamente quel giorno.</w:t>
            </w:r>
          </w:p>
        </w:tc>
      </w:tr>
    </w:tbl>
    <w:p>
      <w:pPr>
        <w:pStyle w:val="Heading2"/>
      </w:pPr>
      <w:bookmarkStart w:name="bm17" w:id="1"/>
      <w:r>
        <w:t xml:space="preserve">5.3 Storico ed esportazione</w:t>
      </w:r>
      <w:bookmarkEnd w:id="1"/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Storico assegnazioni</w:t>
      </w:r>
      <w:r>
        <w:t xml:space="preserve"> — elenca assegnazioni e partenze. Si può filtrare per tipo di evento.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Esporta CSV</w:t>
      </w:r>
      <w:r>
        <w:t xml:space="preserve"> — scarica lo storico (con i filtri attivi) in un file apribile con Excel.</w:t>
      </w:r>
    </w:p>
    <w:p>
      <w:pPr>
        <w:pStyle w:val="Heading2"/>
      </w:pPr>
      <w:bookmarkStart w:name="bm18" w:id="1"/>
      <w:r>
        <w:t xml:space="preserve">5.4 Correggere un’assegnazione prima dell’inizio</w:t>
      </w:r>
      <w:bookmarkEnd w:id="1"/>
    </w:p>
    <w:p>
      <w:pPr>
        <w:spacing w:after="120" w:line="276"/>
      </w:pPr>
      <w:r>
        <w:t xml:space="preserve">Finché l’occupazione non è iniziata, un’assegnazione si può </w:t>
      </w:r>
      <w:r>
        <w:rPr>
          <w:b/>
          <w:bCs/>
        </w:rPr>
        <w:t xml:space="preserve">modificare</w:t>
      </w:r>
      <w:r>
        <w:t xml:space="preserve"> (cambiare banchina/nome/note) o </w:t>
      </w:r>
      <w:r>
        <w:rPr>
          <w:b/>
          <w:bCs/>
        </w:rPr>
        <w:t xml:space="preserve">riportare in attesa</w:t>
      </w:r>
      <w:r>
        <w:t xml:space="preserve"> dalla card "Assegnazioni programmate". A occupazione iniziata, invece, non è più modificabile: è una regola del terminal.</w:t>
      </w:r>
    </w:p>
    <w:p>
      <w:r>
        <w:br w:type="page"/>
      </w:r>
    </w:p>
    <w:p>
      <w:pPr>
        <w:pStyle w:val="Heading1"/>
      </w:pPr>
      <w:bookmarkStart w:name="bm19" w:id="1"/>
      <w:r>
        <w:t xml:space="preserve">6. Guida per l’Admin</w:t>
      </w:r>
      <w:bookmarkEnd w:id="1"/>
    </w:p>
    <w:p>
      <w:pPr>
        <w:spacing w:after="120" w:line="276"/>
      </w:pPr>
      <w:r>
        <w:t xml:space="preserve">L’Admin gestisce la piattaforma. Le sue sezioni sono nelle schede in alto: Gestione utenti, Manutenzioni, Archivio navi, più le viste Operatore e Scheduler.</w:t>
      </w:r>
    </w:p>
    <w:p>
      <w:pPr>
        <w:pStyle w:val="Heading2"/>
      </w:pPr>
      <w:bookmarkStart w:name="bm20" w:id="1"/>
      <w:r>
        <w:t xml:space="preserve">6.1 Gestione utenti</w:t>
      </w:r>
      <w:bookmarkEnd w:id="1"/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Nuovo utente</w:t>
      </w:r>
      <w:r>
        <w:t xml:space="preserve"> — inserire username, ruolo e password iniziale, poi "Crea utente".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Cambiare ruolo</w:t>
      </w:r>
      <w:r>
        <w:t xml:space="preserve"> — dal menù a tendina nella riga dell’utente.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Reset password</w:t>
      </w:r>
      <w:r>
        <w:t xml:space="preserve"> — imposta una nuova password per l’utente.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</w:rPr>
        <w:t xml:space="preserve">Disattiva / Riattiva</w:t>
      </w:r>
      <w:r>
        <w:t xml:space="preserve"> — sospende o riabilita un account. Non ci si può disattivare da soli.</w:t>
      </w:r>
    </w:p>
    <w:tbl>
      <w:tblPr>
        <w:tblW w:type="pct" w:w="100%"/>
        <w:tblBorders>
          <w:top w:val="dashed" w:color="A8863F" w:sz="8"/>
          <w:left w:val="dashed" w:color="A8863F" w:sz="8"/>
          <w:bottom w:val="dashed" w:color="A8863F" w:sz="8"/>
          <w:right w:val="dashed" w:color="A8863F" w:sz="8"/>
          <w:insideH w:val="dashed" w:color="A8863F" w:sz="8"/>
          <w:insideV w:val="dashed" w:color="A8863F" w:sz="8"/>
        </w:tblBorders>
      </w:tblPr>
      <w:tblGrid>
        <w:gridCol w:w="100"/>
      </w:tblGrid>
      <w:tr>
        <w:tc>
          <w:tcPr>
            <w:shd w:fill="FAFBFD" w:color="auto" w:val="clear"/>
            <w:tcMar>
              <w:top w:type="dxa" w:w="360"/>
              <w:left w:type="dxa" w:w="120"/>
              <w:bottom w:type="dxa" w:w="360"/>
              <w:right w:type="dxa" w:w="12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A8863F"/>
                <w:sz w:val="22"/>
                <w:szCs w:val="22"/>
              </w:rPr>
              <w:t xml:space="preserve">🖼  Schermata</w:t>
            </w:r>
          </w:p>
          <w:p>
            <w:pPr>
              <w:spacing w:after="0"/>
              <w:jc w:val="center"/>
            </w:pPr>
            <w:r>
              <w:rPr>
                <w:color w:val="5B6470"/>
                <w:sz w:val="19"/>
                <w:szCs w:val="19"/>
              </w:rPr>
              <w:t xml:space="preserve">Vista Admin: scheda "Gestione utenti"</w:t>
            </w:r>
          </w:p>
          <w:p>
            <w:pPr>
              <w:spacing w:after="0" w:before="20"/>
              <w:jc w:val="center"/>
            </w:pPr>
            <w:r>
              <w:rPr>
                <w:i/>
                <w:iCs/>
                <w:color w:val="9AA3AF"/>
                <w:sz w:val="16"/>
                <w:szCs w:val="16"/>
              </w:rPr>
              <w:t xml:space="preserve">(inserire qui lo screenshot)</w:t>
            </w:r>
          </w:p>
        </w:tc>
      </w:tr>
    </w:tbl>
    <w:p>
      <w:pPr>
        <w:spacing w:after="80"/>
      </w:pPr>
    </w:p>
    <w:p>
      <w:pPr>
        <w:pStyle w:val="Heading2"/>
      </w:pPr>
      <w:bookmarkStart w:name="bm21" w:id="1"/>
      <w:r>
        <w:t xml:space="preserve">6.2 Manutenzioni delle banchine</w:t>
      </w:r>
      <w:bookmarkEnd w:id="1"/>
    </w:p>
    <w:p>
      <w:pPr>
        <w:spacing w:after="80" w:line="268"/>
      </w:pPr>
      <w:r>
        <w:rPr>
          <w:b/>
          <w:bCs/>
          <w:color w:val="A8863F"/>
        </w:rPr>
        <w:t xml:space="preserve">1. </w:t>
      </w:r>
      <w:r>
        <w:t xml:space="preserve">Nella scheda </w:t>
      </w:r>
      <w:r>
        <w:rPr>
          <w:b/>
          <w:bCs/>
        </w:rPr>
        <w:t xml:space="preserve">Manutenzioni</w:t>
      </w:r>
      <w:r>
        <w:t xml:space="preserve">, scegliere la banchina e le date di inizio e fine (con il calendario).</w:t>
      </w:r>
    </w:p>
    <w:p>
      <w:pPr>
        <w:spacing w:after="80" w:line="268"/>
      </w:pPr>
      <w:r>
        <w:rPr>
          <w:b/>
          <w:bCs/>
          <w:color w:val="A8863F"/>
        </w:rPr>
        <w:t xml:space="preserve">2. </w:t>
      </w:r>
      <w:r>
        <w:t xml:space="preserve">Premere </w:t>
      </w:r>
      <w:r>
        <w:rPr>
          <w:b/>
          <w:bCs/>
        </w:rPr>
        <w:t xml:space="preserve">Programma</w:t>
      </w:r>
      <w:r>
        <w:t xml:space="preserve">. Nel periodo indicato la banchina risulta non utilizzabile e le navi assegnate dopo si accodano oltre la finestra.</w:t>
      </w:r>
    </w:p>
    <w:p>
      <w:pPr>
        <w:spacing w:after="80" w:line="268"/>
      </w:pPr>
      <w:r>
        <w:rPr>
          <w:b/>
          <w:bCs/>
          <w:color w:val="A8863F"/>
        </w:rPr>
        <w:t xml:space="preserve">3. </w:t>
      </w:r>
      <w:r>
        <w:t xml:space="preserve">Una manutenzione non ancora iniziata si può </w:t>
      </w:r>
      <w:r>
        <w:rPr>
          <w:b/>
          <w:bCs/>
        </w:rPr>
        <w:t xml:space="preserve">revocare</w:t>
      </w:r>
      <w:r>
        <w:t xml:space="preserve">. Se la finestra si sovrappone a una nave già assegnata, il sistema la rifiuta (le navi assegnate non si spostano).</w:t>
      </w:r>
    </w:p>
    <w:tbl>
      <w:tblPr>
        <w:tblW w:type="pct" w:w="100%"/>
        <w:tblBorders>
          <w:top w:val="dashed" w:color="A8863F" w:sz="8"/>
          <w:left w:val="dashed" w:color="A8863F" w:sz="8"/>
          <w:bottom w:val="dashed" w:color="A8863F" w:sz="8"/>
          <w:right w:val="dashed" w:color="A8863F" w:sz="8"/>
          <w:insideH w:val="dashed" w:color="A8863F" w:sz="8"/>
          <w:insideV w:val="dashed" w:color="A8863F" w:sz="8"/>
        </w:tblBorders>
      </w:tblPr>
      <w:tblGrid>
        <w:gridCol w:w="100"/>
      </w:tblGrid>
      <w:tr>
        <w:tc>
          <w:tcPr>
            <w:shd w:fill="FAFBFD" w:color="auto" w:val="clear"/>
            <w:tcMar>
              <w:top w:type="dxa" w:w="360"/>
              <w:left w:type="dxa" w:w="120"/>
              <w:bottom w:type="dxa" w:w="360"/>
              <w:right w:type="dxa" w:w="120"/>
            </w:tcMar>
          </w:tcPr>
          <w:p>
            <w:pPr>
              <w:spacing w:after="30"/>
              <w:jc w:val="center"/>
            </w:pPr>
            <w:r>
              <w:rPr>
                <w:b/>
                <w:bCs/>
                <w:color w:val="A8863F"/>
                <w:sz w:val="22"/>
                <w:szCs w:val="22"/>
              </w:rPr>
              <w:t xml:space="preserve">🖼  Schermata</w:t>
            </w:r>
          </w:p>
          <w:p>
            <w:pPr>
              <w:spacing w:after="0"/>
              <w:jc w:val="center"/>
            </w:pPr>
            <w:r>
              <w:rPr>
                <w:color w:val="5B6470"/>
                <w:sz w:val="19"/>
                <w:szCs w:val="19"/>
              </w:rPr>
              <w:t xml:space="preserve">Vista Admin: scheda "Manutenzioni"</w:t>
            </w:r>
          </w:p>
          <w:p>
            <w:pPr>
              <w:spacing w:after="0" w:before="20"/>
              <w:jc w:val="center"/>
            </w:pPr>
            <w:r>
              <w:rPr>
                <w:i/>
                <w:iCs/>
                <w:color w:val="9AA3AF"/>
                <w:sz w:val="16"/>
                <w:szCs w:val="16"/>
              </w:rPr>
              <w:t xml:space="preserve">(inserire qui lo screenshot)</w:t>
            </w:r>
          </w:p>
        </w:tc>
      </w:tr>
    </w:tbl>
    <w:p>
      <w:pPr>
        <w:spacing w:after="80"/>
      </w:pPr>
    </w:p>
    <w:p>
      <w:pPr>
        <w:pStyle w:val="Heading2"/>
      </w:pPr>
      <w:bookmarkStart w:name="bm22" w:id="1"/>
      <w:r>
        <w:t xml:space="preserve">6.3 Archivio navi partite</w:t>
      </w:r>
      <w:bookmarkEnd w:id="1"/>
    </w:p>
    <w:p>
      <w:pPr>
        <w:spacing w:after="120" w:line="276"/>
      </w:pPr>
      <w:r>
        <w:t xml:space="preserve">La scheda </w:t>
      </w:r>
      <w:r>
        <w:rPr>
          <w:b/>
          <w:bCs/>
        </w:rPr>
        <w:t xml:space="preserve">Archivio navi</w:t>
      </w:r>
      <w:r>
        <w:t xml:space="preserve"> elenca in sola lettura le navi che hanno concluso l’occupazione (stato "Partita"), con ricerca per nome.</w:t>
      </w:r>
    </w:p>
    <w:p>
      <w:pPr>
        <w:pStyle w:val="Heading2"/>
      </w:pPr>
      <w:bookmarkStart w:name="bm23" w:id="1"/>
      <w:r>
        <w:t xml:space="preserve">6.4 Reset della simulazione</w:t>
      </w:r>
      <w:bookmarkEnd w:id="1"/>
    </w:p>
    <w:p>
      <w:pPr>
        <w:spacing w:after="120" w:line="276"/>
      </w:pPr>
      <w:r>
        <w:t xml:space="preserve">Nella scheda "Gestione utenti", il pulsante </w:t>
      </w:r>
      <w:r>
        <w:rPr>
          <w:b/>
          <w:bCs/>
        </w:rPr>
        <w:t xml:space="preserve">Reset simulazione</w:t>
      </w:r>
      <w:r>
        <w:t xml:space="preserve"> riporta l’ambiente al giorno 1 senza navi né storico (banchine e utenti restano intatti). Utile per ripartire puliti prima di una dimostrazione. Viene chiesta conferma perché l’operazione cancella tutte le navi.</w:t>
      </w:r>
    </w:p>
    <w:p>
      <w:r>
        <w:br w:type="page"/>
      </w:r>
    </w:p>
    <w:p>
      <w:pPr>
        <w:pStyle w:val="Heading1"/>
      </w:pPr>
      <w:bookmarkStart w:name="bm24" w:id="1"/>
      <w:r>
        <w:t xml:space="preserve">7. La barra in alto</w:t>
      </w:r>
      <w:bookmarkEnd w:id="1"/>
    </w:p>
    <w:p>
      <w:pPr>
        <w:spacing w:after="120" w:line="276"/>
      </w:pPr>
      <w:r>
        <w:t xml:space="preserve">La barra superiore è sempre presente e raccoglie gli strumenti principali:</w:t>
      </w:r>
    </w:p>
    <w:tbl>
      <w:tblPr>
        <w:tblW w:type="pct" w:w="100%"/>
        <w:tblBorders>
          <w:top w:val="single" w:color="D5DAE2" w:sz="4"/>
          <w:left w:val="single" w:color="D5DAE2" w:sz="4"/>
          <w:bottom w:val="single" w:color="D5DAE2" w:sz="4"/>
          <w:right w:val="single" w:color="D5DAE2" w:sz="4"/>
          <w:insideH w:val="single" w:color="D5DAE2" w:sz="4"/>
          <w:insideV w:val="single" w:color="D5DAE2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0A16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Elemento</w:t>
            </w:r>
          </w:p>
        </w:tc>
        <w:tc>
          <w:tcPr>
            <w:tcW w:type="pct" w:w="70%"/>
            <w:shd w:fill="0A16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 cosa serve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Mini-mappa banchine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Colpo d’occhio sullo stato delle 8 banchine (occupate/libere/in manutenzione). Per Scheduler e Admin, cliccando una banchina si apre nella timeline.</w:t>
            </w:r>
          </w:p>
        </w:tc>
      </w:tr>
      <w:tr>
        <w:tc>
          <w:tcPr>
            <w:tcW w:type="pct" w:w="30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Giorno + Next Day</w:t>
            </w:r>
          </w:p>
        </w:tc>
        <w:tc>
          <w:tcPr>
            <w:tcW w:type="pct" w:w="70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Mostra il giorno virtuale e permette di avanzare il tempo.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Giorno / Data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Sceglie se mostrare il tempo come numero di giorno o come data.</w:t>
            </w:r>
          </w:p>
        </w:tc>
      </w:tr>
      <w:tr>
        <w:tc>
          <w:tcPr>
            <w:tcW w:type="pct" w:w="30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IT / EN</w:t>
            </w:r>
          </w:p>
        </w:tc>
        <w:tc>
          <w:tcPr>
            <w:tcW w:type="pct" w:w="70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Cambia la lingua dell’applicazione.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☾ / ☀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Cambia tra tema chiaro e scuro.</w:t>
            </w:r>
          </w:p>
        </w:tc>
      </w:tr>
      <w:tr>
        <w:tc>
          <w:tcPr>
            <w:tcW w:type="pct" w:w="30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Esci</w:t>
            </w:r>
          </w:p>
        </w:tc>
        <w:tc>
          <w:tcPr>
            <w:tcW w:type="pct" w:w="70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Chiude la sessione in sicurezza.</w:t>
            </w:r>
          </w:p>
        </w:tc>
      </w:tr>
    </w:tbl>
    <w:p>
      <w:pPr>
        <w:pStyle w:val="Heading1"/>
      </w:pPr>
      <w:bookmarkStart w:name="bm25" w:id="1"/>
      <w:r>
        <w:t xml:space="preserve">8. Domande frequenti</w:t>
      </w:r>
      <w:bookmarkEnd w:id="1"/>
    </w:p>
    <w:p>
      <w:pPr>
        <w:spacing w:after="120" w:line="276"/>
      </w:pPr>
      <w:r>
        <w:rPr>
          <w:b/>
          <w:bCs/>
        </w:rPr>
        <w:t xml:space="preserve">Perché non riesco ad assegnare una nave a una certa banchina? </w:t>
      </w:r>
      <w:r>
        <w:t xml:space="preserve">Le banchine accettano solo navi della propria taglia: si evidenziano solo quelle compatibili con la nave selezionata.</w:t>
      </w:r>
    </w:p>
    <w:p>
      <w:pPr>
        <w:spacing w:after="120" w:line="276"/>
      </w:pPr>
      <w:r>
        <w:rPr>
          <w:b/>
          <w:bCs/>
        </w:rPr>
        <w:t xml:space="preserve">Ho registrato una nave per errore: posso eliminarla? </w:t>
      </w:r>
      <w:r>
        <w:t xml:space="preserve">Sì, con "Annulla", ma solo finché è "In attesa". Dopo l’assegnazione non è più possibile.</w:t>
      </w:r>
    </w:p>
    <w:p>
      <w:pPr>
        <w:spacing w:after="120" w:line="276"/>
      </w:pPr>
      <w:r>
        <w:rPr>
          <w:b/>
          <w:bCs/>
        </w:rPr>
        <w:t xml:space="preserve">Cosa succede quando premo "Next Day"? </w:t>
      </w:r>
      <w:r>
        <w:t xml:space="preserve">Il giorno virtuale avanza di uno e le navi che hanno finito la sosta diventano "Partite", liberando la banchina.</w:t>
      </w:r>
    </w:p>
    <w:p>
      <w:pPr>
        <w:spacing w:after="120" w:line="276"/>
      </w:pPr>
      <w:r>
        <w:rPr>
          <w:b/>
          <w:bCs/>
        </w:rPr>
        <w:t xml:space="preserve">Ho cambiato lingua/tema: resteranno così? </w:t>
      </w:r>
      <w:r>
        <w:t xml:space="preserve">Sì, le preferenze vengono ricordate sul dispositivo.</w:t>
      </w:r>
    </w:p>
    <w:p>
      <w:pPr>
        <w:spacing w:after="120" w:line="276"/>
      </w:pPr>
      <w:r>
        <w:rPr>
          <w:b/>
          <w:bCs/>
        </w:rPr>
        <w:t xml:space="preserve">Un messaggio d’errore appare in italiano anche in modalità inglese. </w:t>
      </w:r>
      <w:r>
        <w:t xml:space="preserve">Alcuni messaggi tecnici di sistema possono comparire in italiano; le funzioni non ne risentono.</w:t>
      </w:r>
    </w:p>
    <w:p>
      <w:pPr>
        <w:pStyle w:val="Heading1"/>
      </w:pPr>
      <w:bookmarkStart w:name="bm26" w:id="1"/>
      <w:r>
        <w:t xml:space="preserve">9. Assistenza e contatti</w:t>
      </w:r>
      <w:bookmarkEnd w:id="1"/>
    </w:p>
    <w:p>
      <w:pPr>
        <w:spacing w:after="120" w:line="276"/>
      </w:pPr>
      <w:r>
        <w:t xml:space="preserve">Per segnalazioni o chiarimenti sull’uso dell’applicazione:</w:t>
      </w:r>
    </w:p>
    <w:tbl>
      <w:tblPr>
        <w:tblW w:type="pct" w:w="100%"/>
        <w:tblBorders>
          <w:top w:val="single" w:color="D5DAE2" w:sz="4"/>
          <w:left w:val="single" w:color="D5DAE2" w:sz="4"/>
          <w:bottom w:val="single" w:color="D5DAE2" w:sz="4"/>
          <w:right w:val="single" w:color="D5DAE2" w:sz="4"/>
          <w:insideH w:val="single" w:color="D5DAE2" w:sz="4"/>
          <w:insideV w:val="single" w:color="D5DAE2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0A16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Riferimento</w:t>
            </w:r>
          </w:p>
        </w:tc>
        <w:tc>
          <w:tcPr>
            <w:tcW w:type="pct" w:w="70%"/>
            <w:shd w:fill="0A162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Contatto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Referente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‹ Nome Cognome ›</w:t>
            </w:r>
          </w:p>
        </w:tc>
      </w:tr>
      <w:tr>
        <w:tc>
          <w:tcPr>
            <w:tcW w:type="pct" w:w="30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Email</w:t>
            </w:r>
          </w:p>
        </w:tc>
        <w:tc>
          <w:tcPr>
            <w:tcW w:type="pct" w:w="70%"/>
            <w:shd w:fill="F3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‹ email istituzionale ›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Telefono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‹ recapito ›</w:t>
            </w:r>
          </w:p>
        </w:tc>
      </w:tr>
    </w:tbl>
    <w:p>
      <w:pPr>
        <w:spacing w:after="120" w:line="276"/>
      </w:pPr>
      <w:r>
        <w:rPr>
          <w:i/>
          <w:iCs/>
          <w:color w:val="5B6470"/>
          <w:sz w:val="18"/>
          <w:szCs w:val="18"/>
        </w:rPr>
        <w:t xml:space="preserve">BlueHarbor Terminal — realizzato per MSC nell’ambito del progetto Learning by Project (ITS WSA 2025–2027). Scenario e dati fittizi a scopo didattico.</w:t>
      </w:r>
    </w:p>
    <w:sectPr>
      <w:headerReference w:type="default" r:id="rId7"/>
      <w:footerReference w:type="default" r:id="rId8"/>
      <w:pgSz w:w="11906" w:h="16838" w:orient="portrait"/>
      <w:pgMar w:top="13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0"/>
        <w:sz w:val="16"/>
        <w:szCs w:val="16"/>
      </w:rPr>
      <w:t xml:space="preserve">MSC — Learning by Project · </w:t>
    </w:r>
    <w:r>
      <w:rPr>
        <w:color w:val="5B6470"/>
        <w:sz w:val="16"/>
        <w:szCs w:val="16"/>
      </w:rPr>
      <w:t xml:space="preserve">Pag.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A45A" w:sz="6" w:space="2"/>
      </w:pBdr>
      <w:spacing w:after="0"/>
    </w:pPr>
    <w:r>
      <w:rPr>
        <w:color w:val="5B6470"/>
        <w:sz w:val="16"/>
        <w:szCs w:val="16"/>
      </w:rPr>
      <w:t xml:space="preserve">BlueHarbor Terminal · Manuale utente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A35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C8A45A" w:sz="12" w:space="4"/>
      </w:pBdr>
      <w:spacing w:after="140" w:before="300"/>
    </w:pPr>
    <w:rPr>
      <w:rFonts w:ascii="Calibri" w:cs="Calibri" w:eastAsia="Calibri" w:hAnsi="Calibri"/>
      <w:b/>
      <w:bCs/>
      <w:color w:val="0A1628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80" w:before="220"/>
    </w:pPr>
    <w:rPr>
      <w:rFonts w:ascii="Calibri" w:cs="Calibri" w:eastAsia="Calibri" w:hAnsi="Calibri"/>
      <w:b/>
      <w:bCs/>
      <w:color w:val="112244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BlueHarbor Terminal — Manuale utente</dc:title>
  <dc:creator>BlueHarbor Team</dc:creator>
  <dc:description>Manuale d’uso per l’utente finale</dc:description>
  <cp:lastModifiedBy>Un-named</cp:lastModifiedBy>
  <cp:revision>1</cp:revision>
  <dcterms:created xsi:type="dcterms:W3CDTF">2026-07-27T17:08:55.363Z</dcterms:created>
  <dcterms:modified xsi:type="dcterms:W3CDTF">2026-07-27T17:08:55.364Z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