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rPr>
          <w:b/>
          <w:bCs/>
          <w:color w:val="5B6470"/>
          <w:spacing w:val="30"/>
          <w:sz w:val="20"/>
          <w:szCs w:val="20"/>
        </w:rPr>
        <w:t xml:space="preserve">ITS ICT PIEMONTE — WSA 2025–2027</w:t>
      </w:r>
    </w:p>
    <w:p>
      <w:pPr>
        <w:spacing w:after="500"/>
      </w:pPr>
      <w:r>
        <w:rPr>
          <w:b/>
          <w:bCs/>
          <w:color w:val="A8863F"/>
          <w:sz w:val="20"/>
          <w:szCs w:val="20"/>
        </w:rPr>
        <w:t xml:space="preserve">Unità Formativa · Learning by Project</w:t>
      </w:r>
    </w:p>
    <w:p>
      <w:pPr>
        <w:spacing w:after="0"/>
      </w:pPr>
      <w:r>
        <w:rPr>
          <w:b/>
          <w:bCs/>
          <w:color w:val="0A1628"/>
          <w:sz w:val="64"/>
          <w:szCs w:val="64"/>
        </w:rPr>
        <w:t xml:space="preserve">BlueHarbor Terminal</w:t>
      </w:r>
    </w:p>
    <w:p>
      <w:pPr>
        <w:pBdr>
          <w:bottom w:val="single" w:color="C8A45A" w:sz="18" w:space="8"/>
        </w:pBdr>
        <w:spacing w:after="0" w:before="40"/>
      </w:pPr>
      <w:r>
        <w:rPr>
          <w:color w:val="112244"/>
          <w:sz w:val="34"/>
          <w:szCs w:val="34"/>
        </w:rPr>
        <w:t xml:space="preserve">Documentazione tecnica</w:t>
      </w:r>
    </w:p>
    <w:p>
      <w:pPr>
        <w:spacing w:after="60" w:before="260"/>
      </w:pPr>
      <w:r>
        <w:rPr>
          <w:i/>
          <w:iCs/>
          <w:color w:val="5B6470"/>
          <w:sz w:val="24"/>
          <w:szCs w:val="24"/>
        </w:rPr>
        <w:t xml:space="preserve">Registro operativo per la gestione delle banchine di un terminal container.</w:t>
      </w:r>
    </w:p>
    <w:p>
      <w:pPr>
        <w:spacing w:after="500"/>
      </w:pPr>
      <w:r>
        <w:rPr>
          <w:color w:val="5B6470"/>
          <w:sz w:val="20"/>
          <w:szCs w:val="20"/>
        </w:rPr>
        <w:t xml:space="preserve">Documento rivolto a lettori tecnici (sviluppo, integrazione, manutenzione).</w:t>
      </w:r>
    </w:p>
    <w:tbl>
      <w:tblPr>
        <w:tblW w:type="pct" w:w="100%"/>
        <w:tblBorders>
          <w:top w:val="single" w:color="D5DAE2" w:sz="4"/>
          <w:left w:val="single" w:color="D5DAE2" w:sz="4"/>
          <w:bottom w:val="single" w:color="D5DAE2" w:sz="4"/>
          <w:right w:val="single" w:color="D5DAE2" w:sz="4"/>
          <w:insideH w:val="single" w:color="D5DAE2" w:sz="4"/>
          <w:insideV w:val="single" w:color="D5DAE2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Voce</w:t>
            </w:r>
          </w:p>
        </w:tc>
        <w:tc>
          <w:tcPr>
            <w:tcW w:type="pct" w:w="68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Dettaglio</w:t>
            </w:r>
          </w:p>
        </w:tc>
      </w:tr>
      <w:tr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Cliente / Committente</w:t>
            </w:r>
          </w:p>
        </w:tc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MSC — Mediterranean Shipping Company (scenario didattico)</w:t>
            </w:r>
          </w:p>
        </w:tc>
      </w:tr>
      <w:tr>
        <w:tc>
          <w:tcPr>
            <w:tcW w:type="pct" w:w="32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Prodotto</w:t>
            </w:r>
          </w:p>
        </w:tc>
        <w:tc>
          <w:tcPr>
            <w:tcW w:type="pct" w:w="68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BlueHarbor Terminal — web app di registro e pianificazione banchine</w:t>
            </w:r>
          </w:p>
        </w:tc>
      </w:tr>
      <w:tr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Versione documento</w:t>
            </w:r>
          </w:p>
        </w:tc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1.0 — Consegna finale</w:t>
            </w:r>
          </w:p>
        </w:tc>
      </w:tr>
      <w:tr>
        <w:tc>
          <w:tcPr>
            <w:tcW w:type="pct" w:w="32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Data</w:t>
            </w:r>
          </w:p>
        </w:tc>
        <w:tc>
          <w:tcPr>
            <w:tcW w:type="pct" w:w="68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27 luglio 2026</w:t>
            </w:r>
          </w:p>
        </w:tc>
      </w:tr>
      <w:tr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Team</w:t>
            </w:r>
          </w:p>
        </w:tc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‹ inserire nome del team ›</w:t>
            </w:r>
          </w:p>
        </w:tc>
      </w:tr>
      <w:tr>
        <w:tc>
          <w:tcPr>
            <w:tcW w:type="pct" w:w="32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Repository</w:t>
            </w:r>
          </w:p>
        </w:tc>
        <w:tc>
          <w:tcPr>
            <w:tcW w:type="pct" w:w="68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github.com/lufo-336/projectBlueHarbor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100" w:right="1200" w:bottom="1100" w:left="1200" w:header="708" w:footer="708" w:gutter="0"/>
          <w:pgNumType/>
          <w:docGrid w:linePitch="360"/>
        </w:sectPr>
      </w:pPr>
    </w:p>
    <w:p>
      <w:pPr>
        <w:spacing w:after="160"/>
      </w:pPr>
      <w:r>
        <w:rPr>
          <w:b/>
          <w:bCs/>
          <w:color w:val="0A1628"/>
          <w:sz w:val="32"/>
          <w:szCs w:val="32"/>
        </w:rPr>
        <w:t xml:space="preserve">Sommario</w:t>
      </w:r>
    </w:p>
    <w:p>
      <w:pPr>
        <w:spacing w:after="50" w:before="90"/>
        <w:ind w:left="0"/>
      </w:pPr>
      <w:hyperlink w:history="1" w:anchor="bm1">
        <w:r>
          <w:rPr>
            <w:b/>
            <w:bCs/>
            <w:color w:val="0A1628"/>
            <w:sz w:val="22"/>
            <w:szCs w:val="22"/>
          </w:rPr>
          <w:t xml:space="preserve">1. Introduzione</w:t>
        </w:r>
      </w:hyperlink>
    </w:p>
    <w:p>
      <w:pPr>
        <w:spacing w:after="20" w:before="0"/>
        <w:ind w:left="360"/>
      </w:pPr>
      <w:hyperlink w:history="1" w:anchor="bm2">
        <w:r>
          <w:rPr>
            <w:b w:val="false"/>
            <w:bCs w:val="false"/>
            <w:color w:val="2A3340"/>
            <w:sz w:val="20"/>
            <w:szCs w:val="20"/>
          </w:rPr>
          <w:t xml:space="preserve">1.1 Scopo del documento</w:t>
        </w:r>
      </w:hyperlink>
    </w:p>
    <w:p>
      <w:pPr>
        <w:spacing w:after="20" w:before="0"/>
        <w:ind w:left="360"/>
      </w:pPr>
      <w:hyperlink w:history="1" w:anchor="bm3">
        <w:r>
          <w:rPr>
            <w:b w:val="false"/>
            <w:bCs w:val="false"/>
            <w:color w:val="2A3340"/>
            <w:sz w:val="20"/>
            <w:szCs w:val="20"/>
          </w:rPr>
          <w:t xml:space="preserve">1.2 Glossario essenziale</w:t>
        </w:r>
      </w:hyperlink>
    </w:p>
    <w:p>
      <w:pPr>
        <w:spacing w:after="50" w:before="90"/>
        <w:ind w:left="0"/>
      </w:pPr>
      <w:hyperlink w:history="1" w:anchor="bm4">
        <w:r>
          <w:rPr>
            <w:b/>
            <w:bCs/>
            <w:color w:val="0A1628"/>
            <w:sz w:val="22"/>
            <w:szCs w:val="22"/>
          </w:rPr>
          <w:t xml:space="preserve">2. Panoramica del prodotto</w:t>
        </w:r>
      </w:hyperlink>
    </w:p>
    <w:p>
      <w:pPr>
        <w:spacing w:after="50" w:before="90"/>
        <w:ind w:left="0"/>
      </w:pPr>
      <w:hyperlink w:history="1" w:anchor="bm5">
        <w:r>
          <w:rPr>
            <w:b/>
            <w:bCs/>
            <w:color w:val="0A1628"/>
            <w:sz w:val="22"/>
            <w:szCs w:val="22"/>
          </w:rPr>
          <w:t xml:space="preserve">3. Architettura complessiva</w:t>
        </w:r>
      </w:hyperlink>
    </w:p>
    <w:p>
      <w:pPr>
        <w:spacing w:after="20" w:before="0"/>
        <w:ind w:left="360"/>
      </w:pPr>
      <w:hyperlink w:history="1" w:anchor="bm6">
        <w:r>
          <w:rPr>
            <w:b w:val="false"/>
            <w:bCs w:val="false"/>
            <w:color w:val="2A3340"/>
            <w:sz w:val="20"/>
            <w:szCs w:val="20"/>
          </w:rPr>
          <w:t xml:space="preserve">3.1 Deploy in cloud</w:t>
        </w:r>
      </w:hyperlink>
    </w:p>
    <w:p>
      <w:pPr>
        <w:spacing w:after="50" w:before="90"/>
        <w:ind w:left="0"/>
      </w:pPr>
      <w:hyperlink w:history="1" w:anchor="bm7">
        <w:r>
          <w:rPr>
            <w:b/>
            <w:bCs/>
            <w:color w:val="0A1628"/>
            <w:sz w:val="22"/>
            <w:szCs w:val="22"/>
          </w:rPr>
          <w:t xml:space="preserve">4. Componenti principali e responsabilità</w:t>
        </w:r>
      </w:hyperlink>
    </w:p>
    <w:p>
      <w:pPr>
        <w:spacing w:after="20" w:before="0"/>
        <w:ind w:left="360"/>
      </w:pPr>
      <w:hyperlink w:history="1" w:anchor="bm8">
        <w:r>
          <w:rPr>
            <w:b w:val="false"/>
            <w:bCs w:val="false"/>
            <w:color w:val="2A3340"/>
            <w:sz w:val="20"/>
            <w:szCs w:val="20"/>
          </w:rPr>
          <w:t xml:space="preserve">4.1 Frontend (React)</w:t>
        </w:r>
      </w:hyperlink>
    </w:p>
    <w:p>
      <w:pPr>
        <w:spacing w:after="20" w:before="0"/>
        <w:ind w:left="360"/>
      </w:pPr>
      <w:hyperlink w:history="1" w:anchor="bm9">
        <w:r>
          <w:rPr>
            <w:b w:val="false"/>
            <w:bCs w:val="false"/>
            <w:color w:val="2A3340"/>
            <w:sz w:val="20"/>
            <w:szCs w:val="20"/>
          </w:rPr>
          <w:t xml:space="preserve">4.2 Backend (ASP.NET Core)</w:t>
        </w:r>
      </w:hyperlink>
    </w:p>
    <w:p>
      <w:pPr>
        <w:spacing w:after="20" w:before="0"/>
        <w:ind w:left="360"/>
      </w:pPr>
      <w:hyperlink w:history="1" w:anchor="bm10">
        <w:r>
          <w:rPr>
            <w:b w:val="false"/>
            <w:bCs w:val="false"/>
            <w:color w:val="2A3340"/>
            <w:sz w:val="20"/>
            <w:szCs w:val="20"/>
          </w:rPr>
          <w:t xml:space="preserve">4.3 Database</w:t>
        </w:r>
      </w:hyperlink>
    </w:p>
    <w:p>
      <w:pPr>
        <w:spacing w:after="50" w:before="90"/>
        <w:ind w:left="0"/>
      </w:pPr>
      <w:hyperlink w:history="1" w:anchor="bm11">
        <w:r>
          <w:rPr>
            <w:b/>
            <w:bCs/>
            <w:color w:val="0A1628"/>
            <w:sz w:val="22"/>
            <w:szCs w:val="22"/>
          </w:rPr>
          <w:t xml:space="preserve">5. Modello dati ad alto livello</w:t>
        </w:r>
      </w:hyperlink>
    </w:p>
    <w:p>
      <w:pPr>
        <w:spacing w:after="50" w:before="90"/>
        <w:ind w:left="0"/>
      </w:pPr>
      <w:hyperlink w:history="1" w:anchor="bm12">
        <w:r>
          <w:rPr>
            <w:b/>
            <w:bCs/>
            <w:color w:val="0A1628"/>
            <w:sz w:val="22"/>
            <w:szCs w:val="22"/>
          </w:rPr>
          <w:t xml:space="preserve">6. Regole di dominio e algoritmi</w:t>
        </w:r>
      </w:hyperlink>
    </w:p>
    <w:p>
      <w:pPr>
        <w:spacing w:after="20" w:before="0"/>
        <w:ind w:left="360"/>
      </w:pPr>
      <w:hyperlink w:history="1" w:anchor="bm13">
        <w:r>
          <w:rPr>
            <w:b w:val="false"/>
            <w:bCs w:val="false"/>
            <w:color w:val="2A3340"/>
            <w:sz w:val="20"/>
            <w:szCs w:val="20"/>
          </w:rPr>
          <w:t xml:space="preserve">6.1 Taglie e compatibilità</w:t>
        </w:r>
      </w:hyperlink>
    </w:p>
    <w:p>
      <w:pPr>
        <w:spacing w:after="20" w:before="0"/>
        <w:ind w:left="360"/>
      </w:pPr>
      <w:hyperlink w:history="1" w:anchor="bm14">
        <w:r>
          <w:rPr>
            <w:b w:val="false"/>
            <w:bCs w:val="false"/>
            <w:color w:val="2A3340"/>
            <w:sz w:val="20"/>
            <w:szCs w:val="20"/>
          </w:rPr>
          <w:t xml:space="preserve">6.2 Generazione della nave</w:t>
        </w:r>
      </w:hyperlink>
    </w:p>
    <w:p>
      <w:pPr>
        <w:spacing w:after="20" w:before="0"/>
        <w:ind w:left="360"/>
      </w:pPr>
      <w:hyperlink w:history="1" w:anchor="bm15">
        <w:r>
          <w:rPr>
            <w:b w:val="false"/>
            <w:bCs w:val="false"/>
            <w:color w:val="2A3340"/>
            <w:sz w:val="20"/>
            <w:szCs w:val="20"/>
          </w:rPr>
          <w:t xml:space="preserve">6.3 Ciclo di vita</w:t>
        </w:r>
      </w:hyperlink>
    </w:p>
    <w:p>
      <w:pPr>
        <w:spacing w:after="20" w:before="0"/>
        <w:ind w:left="360"/>
      </w:pPr>
      <w:hyperlink w:history="1" w:anchor="bm16">
        <w:r>
          <w:rPr>
            <w:b w:val="false"/>
            <w:bCs w:val="false"/>
            <w:color w:val="2A3340"/>
            <w:sz w:val="20"/>
            <w:szCs w:val="20"/>
          </w:rPr>
          <w:t xml:space="preserve">6.4 Algoritmo di accodamento</w:t>
        </w:r>
      </w:hyperlink>
    </w:p>
    <w:p>
      <w:pPr>
        <w:spacing w:after="20" w:before="0"/>
        <w:ind w:left="360"/>
      </w:pPr>
      <w:hyperlink w:history="1" w:anchor="bm17">
        <w:r>
          <w:rPr>
            <w:b w:val="false"/>
            <w:bCs w:val="false"/>
            <w:color w:val="2A3340"/>
            <w:sz w:val="20"/>
            <w:szCs w:val="20"/>
          </w:rPr>
          <w:t xml:space="preserve">6.5 Modello temporale e Next Day</w:t>
        </w:r>
      </w:hyperlink>
    </w:p>
    <w:p>
      <w:pPr>
        <w:spacing w:after="20" w:before="0"/>
        <w:ind w:left="360"/>
      </w:pPr>
      <w:hyperlink w:history="1" w:anchor="bm18">
        <w:r>
          <w:rPr>
            <w:b w:val="false"/>
            <w:bCs w:val="false"/>
            <w:color w:val="2A3340"/>
            <w:sz w:val="20"/>
            <w:szCs w:val="20"/>
          </w:rPr>
          <w:t xml:space="preserve">6.6 Manutenzioni banchina</w:t>
        </w:r>
      </w:hyperlink>
    </w:p>
    <w:p>
      <w:pPr>
        <w:spacing w:after="20" w:before="0"/>
        <w:ind w:left="360"/>
      </w:pPr>
      <w:hyperlink w:history="1" w:anchor="bm19">
        <w:r>
          <w:rPr>
            <w:b w:val="false"/>
            <w:bCs w:val="false"/>
            <w:color w:val="2A3340"/>
            <w:sz w:val="20"/>
            <w:szCs w:val="20"/>
          </w:rPr>
          <w:t xml:space="preserve">6.7 Storico assegnazioni</w:t>
        </w:r>
      </w:hyperlink>
    </w:p>
    <w:p>
      <w:pPr>
        <w:spacing w:after="50" w:before="90"/>
        <w:ind w:left="0"/>
      </w:pPr>
      <w:hyperlink w:history="1" w:anchor="bm20">
        <w:r>
          <w:rPr>
            <w:b/>
            <w:bCs/>
            <w:color w:val="0A1628"/>
            <w:sz w:val="22"/>
            <w:szCs w:val="22"/>
          </w:rPr>
          <w:t xml:space="preserve">7. API principali</w:t>
        </w:r>
      </w:hyperlink>
    </w:p>
    <w:p>
      <w:pPr>
        <w:spacing w:after="50" w:before="90"/>
        <w:ind w:left="0"/>
      </w:pPr>
      <w:hyperlink w:history="1" w:anchor="bm21">
        <w:r>
          <w:rPr>
            <w:b/>
            <w:bCs/>
            <w:color w:val="0A1628"/>
            <w:sz w:val="22"/>
            <w:szCs w:val="22"/>
          </w:rPr>
          <w:t xml:space="preserve">8. Sicurezza</w:t>
        </w:r>
      </w:hyperlink>
    </w:p>
    <w:p>
      <w:pPr>
        <w:spacing w:after="50" w:before="90"/>
        <w:ind w:left="0"/>
      </w:pPr>
      <w:hyperlink w:history="1" w:anchor="bm22">
        <w:r>
          <w:rPr>
            <w:b/>
            <w:bCs/>
            <w:color w:val="0A1628"/>
            <w:sz w:val="22"/>
            <w:szCs w:val="22"/>
          </w:rPr>
          <w:t xml:space="preserve">9. Internazionalizzazione (IT/EN)</w:t>
        </w:r>
      </w:hyperlink>
    </w:p>
    <w:p>
      <w:pPr>
        <w:spacing w:after="50" w:before="90"/>
        <w:ind w:left="0"/>
      </w:pPr>
      <w:hyperlink w:history="1" w:anchor="bm23">
        <w:r>
          <w:rPr>
            <w:b/>
            <w:bCs/>
            <w:color w:val="0A1628"/>
            <w:sz w:val="22"/>
            <w:szCs w:val="22"/>
          </w:rPr>
          <w:t xml:space="preserve">10. Decisioni progettuali e compromessi</w:t>
        </w:r>
      </w:hyperlink>
    </w:p>
    <w:p>
      <w:pPr>
        <w:spacing w:after="50" w:before="90"/>
        <w:ind w:left="0"/>
      </w:pPr>
      <w:hyperlink w:history="1" w:anchor="bm24">
        <w:r>
          <w:rPr>
            <w:b/>
            <w:bCs/>
            <w:color w:val="0A1628"/>
            <w:sz w:val="22"/>
            <w:szCs w:val="22"/>
          </w:rPr>
          <w:t xml:space="preserve">11. Qualità: build, test e CI/CD</w:t>
        </w:r>
      </w:hyperlink>
    </w:p>
    <w:p>
      <w:pPr>
        <w:spacing w:after="50" w:before="90"/>
        <w:ind w:left="0"/>
      </w:pPr>
      <w:hyperlink w:history="1" w:anchor="bm25">
        <w:r>
          <w:rPr>
            <w:b/>
            <w:bCs/>
            <w:color w:val="0A1628"/>
            <w:sz w:val="22"/>
            <w:szCs w:val="22"/>
          </w:rPr>
          <w:t xml:space="preserve">12. Struttura del repository</w:t>
        </w:r>
      </w:hyperlink>
    </w:p>
    <w:p>
      <w:pPr>
        <w:spacing w:after="50" w:before="90"/>
        <w:ind w:left="0"/>
      </w:pPr>
      <w:hyperlink w:history="1" w:anchor="bm26">
        <w:r>
          <w:rPr>
            <w:b/>
            <w:bCs/>
            <w:color w:val="0A1628"/>
            <w:sz w:val="22"/>
            <w:szCs w:val="22"/>
          </w:rPr>
          <w:t xml:space="preserve">13. Appendice — accesso rapido</w:t>
        </w:r>
      </w:hyperlink>
    </w:p>
    <w:p>
      <w:r>
        <w:br w:type="page"/>
      </w:r>
    </w:p>
    <w:p>
      <w:pPr>
        <w:pStyle w:val="Heading1"/>
      </w:pPr>
      <w:bookmarkStart w:name="bm1" w:id="1"/>
      <w:r>
        <w:t xml:space="preserve">1. Introduzione</w:t>
      </w:r>
      <w:bookmarkEnd w:id="1"/>
    </w:p>
    <w:p>
      <w:pPr>
        <w:pStyle w:val="Heading2"/>
      </w:pPr>
      <w:bookmarkStart w:name="bm2" w:id="1"/>
      <w:r>
        <w:t xml:space="preserve">1.1 Scopo del documento</w:t>
      </w:r>
      <w:bookmarkEnd w:id="1"/>
    </w:p>
    <w:p>
      <w:pPr>
        <w:spacing w:after="120" w:line="276"/>
      </w:pPr>
      <w:r>
        <w:t xml:space="preserve">Questo documento descrive la struttura e il funzionamento di BlueHarbor Terminal a beneficio di un pubblico tecnico. Copre l’architettura complessiva, i componenti e le loro responsabilità, il modello dati ad alto livello, le regole di dominio con i relativi algoritmi, il contratto delle API, gli aspetti di sicurezza e le principali decisioni progettuali con i compromessi adottati. Il manuale d’uso per l’utente finale è invece un documento separato.</w:t>
      </w:r>
    </w:p>
    <w:p>
      <w:pPr>
        <w:spacing w:after="120" w:line="276"/>
      </w:pPr>
      <w:r>
        <w:rPr>
          <w:b/>
          <w:bCs/>
        </w:rPr>
        <w:t xml:space="preserve">Contesto. </w:t>
      </w:r>
      <w:r>
        <w:t xml:space="preserve">BlueHarbor è realizzato nell’ambito dell’Unità Formativa "Learning by Project". La commessa richiede una piattaforma web interna per registrare le navi in arrivo, pianificare l’uso delle banchine e coordinare il lavoro del personale operativo di un piccolo terminal container. Scenario, nomi e dati sono fittizi e a scopo didattico.</w:t>
      </w:r>
    </w:p>
    <w:p>
      <w:pPr>
        <w:pStyle w:val="Heading2"/>
      </w:pPr>
      <w:bookmarkStart w:name="bm3" w:id="1"/>
      <w:r>
        <w:t xml:space="preserve">1.2 Glossario essenziale</w:t>
      </w:r>
      <w:bookmarkEnd w:id="1"/>
    </w:p>
    <w:tbl>
      <w:tblPr>
        <w:tblW w:type="pct" w:w="100%"/>
        <w:tblBorders>
          <w:top w:val="single" w:color="D5DAE2" w:sz="4"/>
          <w:left w:val="single" w:color="D5DAE2" w:sz="4"/>
          <w:bottom w:val="single" w:color="D5DAE2" w:sz="4"/>
          <w:right w:val="single" w:color="D5DAE2" w:sz="4"/>
          <w:insideH w:val="single" w:color="D5DAE2" w:sz="4"/>
          <w:insideV w:val="single" w:color="D5DAE2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Termine</w:t>
            </w:r>
          </w:p>
        </w:tc>
        <w:tc>
          <w:tcPr>
            <w:tcW w:type="pct" w:w="74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Significato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Giorno virtuale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Tempo simulato del sistema (numero intero). Non esiste orario reale: si avanza di un giorno con l’azione "Next Day".</w:t>
            </w:r>
          </w:p>
        </w:tc>
      </w:tr>
      <w:tr>
        <w:tc>
          <w:tcPr>
            <w:tcW w:type="pct" w:w="26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Banchina (berth)</w:t>
            </w:r>
          </w:p>
        </w:tc>
        <w:tc>
          <w:tcPr>
            <w:tcW w:type="pct" w:w="74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Posto di ormeggio. Il terminal ne ha 8, di taglia fissa. Una banchina ospita solo navi della propria taglia.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Taglia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Dimensione di nave/banchina: S, M, L, XL.</w:t>
            </w:r>
          </w:p>
        </w:tc>
      </w:tr>
      <w:tr>
        <w:tc>
          <w:tcPr>
            <w:tcW w:type="pct" w:w="26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Occupazione</w:t>
            </w:r>
          </w:p>
        </w:tc>
        <w:tc>
          <w:tcPr>
            <w:tcW w:type="pct" w:w="74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Intervallo di giorni [inizio, fine) in cui una nave occupa una banchina.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Accodamento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Se una banchina è occupata, la nave viene pianificata nel primo slot libero successivo.</w:t>
            </w:r>
          </w:p>
        </w:tc>
      </w:tr>
      <w:tr>
        <w:tc>
          <w:tcPr>
            <w:tcW w:type="pct" w:w="26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Ciclo di vita</w:t>
            </w:r>
          </w:p>
        </w:tc>
        <w:tc>
          <w:tcPr>
            <w:tcW w:type="pct" w:w="74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Stati della nave: Pending (in attesa) → Assigned (assegnata) → Departed (partita).</w:t>
            </w:r>
          </w:p>
        </w:tc>
      </w:tr>
    </w:tbl>
    <w:p>
      <w:pPr>
        <w:pStyle w:val="Heading1"/>
      </w:pPr>
      <w:bookmarkStart w:name="bm4" w:id="1"/>
      <w:r>
        <w:t xml:space="preserve">2. Panoramica del prodotto</w:t>
      </w:r>
      <w:bookmarkEnd w:id="1"/>
    </w:p>
    <w:p>
      <w:pPr>
        <w:spacing w:after="120" w:line="276"/>
      </w:pPr>
      <w:r>
        <w:t xml:space="preserve">BlueHarbor sostituisce il coordinamento manuale del terminal con una web app a tre ruoli. Il flusso operativo è lineare: l’Operatore registra le navi in arrivo, lo Scheduler le assegna alle banchine compatibili rispettando l’accodamento, e l’avanzamento del tempo ("Next Day") fa concludere le soste. Un ruolo Admin, aggiunto come ruolo di piattaforma, gestisce utenti, manutenzioni e ambiente di simulazione.</w:t>
      </w:r>
    </w:p>
    <w:tbl>
      <w:tblPr>
        <w:tblW w:type="pct" w:w="100%"/>
        <w:tblBorders>
          <w:top w:val="single" w:color="D5DAE2" w:sz="4"/>
          <w:left w:val="single" w:color="D5DAE2" w:sz="4"/>
          <w:bottom w:val="single" w:color="D5DAE2" w:sz="4"/>
          <w:right w:val="single" w:color="D5DAE2" w:sz="4"/>
          <w:insideH w:val="single" w:color="D5DAE2" w:sz="4"/>
          <w:insideV w:val="single" w:color="D5DAE2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8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Ruolo</w:t>
            </w:r>
          </w:p>
        </w:tc>
        <w:tc>
          <w:tcPr>
            <w:tcW w:type="pct" w:w="82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Responsabilità nel dominio</w:t>
            </w:r>
          </w:p>
        </w:tc>
      </w:tr>
      <w:tr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Operatore</w:t>
            </w:r>
          </w:p>
        </w:tc>
        <w:tc>
          <w:tcPr>
            <w:tcW w:type="pct" w:w="8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Registra nuove navi (il sistema genera taglia, giorno di arrivo e durata; nome e note li inserisce l’operatore). Mantiene lo stato delle navi; può annullare una nave finché è Pending.</w:t>
            </w:r>
          </w:p>
        </w:tc>
      </w:tr>
      <w:tr>
        <w:tc>
          <w:tcPr>
            <w:tcW w:type="pct" w:w="18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Scheduler</w:t>
            </w:r>
          </w:p>
        </w:tc>
        <w:tc>
          <w:tcPr>
            <w:tcW w:type="pct" w:w="82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Vede le navi in attesa e le assegna alle banchine compatibili secondo le regole (compatibilità di taglia + primo slot libero). Consulta la timeline delle banchine e lo storico assegnazioni.</w:t>
            </w:r>
          </w:p>
        </w:tc>
      </w:tr>
      <w:tr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Admin</w:t>
            </w:r>
          </w:p>
        </w:tc>
        <w:tc>
          <w:tcPr>
            <w:tcW w:type="pct" w:w="8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Ruolo di piattaforma: gestione utenti, finestre di manutenzione delle banchine, reset della simulazione. Include le viste di Operatore e Scheduler. Non scavalca le regole di dominio.</w:t>
            </w:r>
          </w:p>
        </w:tc>
      </w:tr>
    </w:tbl>
    <w:tbl>
      <w:tblPr>
        <w:tblW w:type="pct" w:w="100%"/>
        <w:tblBorders>
          <w:top w:val="none"/>
          <w:left w:val="single" w:color="C8A45A" w:sz="2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3F5F8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A1628"/>
              </w:rPr>
              <w:t xml:space="preserve">Modello temporale</w:t>
            </w:r>
          </w:p>
          <w:p>
            <w:pPr>
              <w:spacing w:after="0"/>
            </w:pPr>
            <w:r>
              <w:t xml:space="preserve">Il sistema NON è real-time. Mantiene un giorno corrente virtuale; l’azione "Next Day" avanza il tempo di un giorno e imposta a Departed le navi che hanno concluso l’occupazione. Non si gestiscono ore o minuti: è una scelta di dominio della commessa.</w:t>
            </w:r>
          </w:p>
        </w:tc>
      </w:tr>
    </w:tbl>
    <w:p>
      <w:r>
        <w:br w:type="page"/>
      </w:r>
    </w:p>
    <w:p>
      <w:pPr>
        <w:pStyle w:val="Heading1"/>
      </w:pPr>
      <w:bookmarkStart w:name="bm5" w:id="1"/>
      <w:r>
        <w:t xml:space="preserve">3. Architettura complessiva</w:t>
      </w:r>
      <w:bookmarkEnd w:id="1"/>
    </w:p>
    <w:p>
      <w:pPr>
        <w:spacing w:after="120" w:line="276"/>
      </w:pPr>
      <w:r>
        <w:t xml:space="preserve">BlueHarbor è un’applicazione web a tre livelli: un frontend a pagina singola (SPA), una Web API stateless e un database relazionale. Il frontend comunica con il backend esclusivamente via HTTP/JSON; il backend è l’unico a parlare con il database.</w:t>
      </w:r>
    </w:p>
    <w:p>
      <w:pPr>
        <w:spacing w:after="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shd w:fill="1A3360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Browser</w:t>
            </w:r>
          </w:p>
          <w:p>
            <w:pPr>
              <w:spacing w:after="0" w:before="20"/>
              <w:jc w:val="center"/>
            </w:pPr>
            <w:r>
              <w:rPr>
                <w:color w:val="DCE3EF"/>
                <w:sz w:val="15"/>
                <w:szCs w:val="15"/>
              </w:rPr>
              <w:t xml:space="preserve">React 19 + Vite (SPA)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A8863F"/>
                <w:sz w:val="32"/>
                <w:szCs w:val="32"/>
              </w:rPr>
              <w:t xml:space="preserve">→</w:t>
            </w:r>
          </w:p>
        </w:tc>
        <w:tc>
          <w:tcPr>
            <w:tcW w:type="pct" w:w="26%"/>
            <w:shd w:fill="112244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Web API</w:t>
            </w:r>
          </w:p>
          <w:p>
            <w:pPr>
              <w:spacing w:after="0" w:before="20"/>
              <w:jc w:val="center"/>
            </w:pPr>
            <w:r>
              <w:rPr>
                <w:color w:val="DCE3EF"/>
                <w:sz w:val="15"/>
                <w:szCs w:val="15"/>
              </w:rPr>
              <w:t xml:space="preserve">ASP.NET Core + EF Core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A8863F"/>
                <w:sz w:val="32"/>
                <w:szCs w:val="32"/>
              </w:rPr>
              <w:t xml:space="preserve">→</w:t>
            </w:r>
          </w:p>
        </w:tc>
        <w:tc>
          <w:tcPr>
            <w:tcW w:type="pct" w:w="26%"/>
            <w:shd w:fill="0A1628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  <w:p>
            <w:pPr>
              <w:spacing w:after="0" w:before="20"/>
              <w:jc w:val="center"/>
            </w:pPr>
            <w:r>
              <w:rPr>
                <w:color w:val="DCE3EF"/>
                <w:sz w:val="15"/>
                <w:szCs w:val="15"/>
              </w:rPr>
              <w:t xml:space="preserve">SQL Server / Azure SQL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Frontend</w:t>
      </w:r>
      <w:r>
        <w:t xml:space="preserve"> — React 19 con Vite. Nessun router: la vista mostrata dipende dal ruolo dell’utente autenticato. Lo stato condiviso è gestito con Context API (autenticazione, giorno virtuale, preferenze UI, notifiche). Tutte le chiamate passano da un unico client HTTP.</w:t>
      </w:r>
    </w:p>
    <w:p>
      <w:pPr>
        <w:spacing w:after="120" w:line="276"/>
      </w:pPr>
      <w:r>
        <w:rPr>
          <w:b/>
          <w:bCs/>
        </w:rPr>
        <w:t xml:space="preserve">Backend</w:t>
      </w:r>
      <w:r>
        <w:t xml:space="preserve"> — ASP.NET Core Web API con Entity Framework Core. Controller sottili che validano l’input e orchestrano; la logica di dominio pura è isolata in servizi. Gli errori sono restituiti come </w:t>
      </w:r>
      <w:r>
        <w:rPr>
          <w:rFonts w:ascii="Consolas" w:cs="Consolas" w:eastAsia="Consolas" w:hAnsi="Consolas"/>
          <w:sz w:val="19"/>
          <w:szCs w:val="19"/>
        </w:rPr>
        <w:t xml:space="preserve">Problem Details</w:t>
      </w:r>
      <w:r>
        <w:t xml:space="preserve"> (RFC 7807). </w:t>
      </w:r>
      <w:r>
        <w:rPr>
          <w:rFonts w:ascii="Consolas" w:cs="Consolas" w:eastAsia="Consolas" w:hAnsi="Consolas"/>
          <w:sz w:val="19"/>
          <w:szCs w:val="19"/>
        </w:rPr>
        <w:t xml:space="preserve">GET /api/ships</w:t>
      </w:r>
      <w:r>
        <w:t xml:space="preserve"> è paginato e filtrabile.</w:t>
      </w:r>
    </w:p>
    <w:p>
      <w:pPr>
        <w:spacing w:after="120" w:line="276"/>
      </w:pPr>
      <w:r>
        <w:rPr>
          <w:b/>
          <w:bCs/>
        </w:rPr>
        <w:t xml:space="preserve">Database</w:t>
      </w:r>
      <w:r>
        <w:t xml:space="preserve"> — SQL Server (in locale/container) o Azure SQL (in cloud). Schema gestito con script T-SQL versionati; il modello EF resta allineato e all’avvio </w:t>
      </w:r>
      <w:r>
        <w:rPr>
          <w:rFonts w:ascii="Consolas" w:cs="Consolas" w:eastAsia="Consolas" w:hAnsi="Consolas"/>
          <w:sz w:val="19"/>
          <w:szCs w:val="19"/>
        </w:rPr>
        <w:t xml:space="preserve">EnsureCreated()</w:t>
      </w:r>
      <w:r>
        <w:t xml:space="preserve"> completa schema e seed mancanti (utile nel container, no-op su DB esistente).</w:t>
      </w:r>
    </w:p>
    <w:p>
      <w:pPr>
        <w:pStyle w:val="Heading2"/>
      </w:pPr>
      <w:bookmarkStart w:name="bm6" w:id="1"/>
      <w:r>
        <w:t xml:space="preserve">3.1 Deploy in cloud</w:t>
      </w:r>
      <w:bookmarkEnd w:id="1"/>
    </w:p>
    <w:p>
      <w:pPr>
        <w:spacing w:after="120" w:line="276"/>
      </w:pPr>
      <w:r>
        <w:t xml:space="preserve">In produzione l’app gira su Azure Container Apps con Azure SQL Database (tier Basic). Il deploy è automatico: a ogni merge su main che tocca il progetto, una GitHub Action costruisce l’immagine Docker, la pubblica su GitHub Container Registry (taggata per SHA) e aggiorna la Container App.</w:t>
      </w:r>
    </w:p>
    <w:tbl>
      <w:tblPr>
        <w:tblW w:type="pct" w:w="100%"/>
        <w:tblBorders>
          <w:top w:val="single" w:color="D5DAE2" w:sz="4"/>
          <w:left w:val="single" w:color="D5DAE2" w:sz="4"/>
          <w:bottom w:val="single" w:color="D5DAE2" w:sz="4"/>
          <w:right w:val="single" w:color="D5DAE2" w:sz="4"/>
          <w:insideH w:val="single" w:color="D5DAE2" w:sz="4"/>
          <w:insideV w:val="single" w:color="D5DAE2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Aspetto</w:t>
            </w:r>
          </w:p>
        </w:tc>
        <w:tc>
          <w:tcPr>
            <w:tcW w:type="pct" w:w="70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Scelta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Hosting applicazione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Azure Container Apps (immagine Docker unica: API + frontend statico)</w:t>
            </w:r>
          </w:p>
        </w:tc>
      </w:tr>
      <w:tr>
        <w:tc>
          <w:tcPr>
            <w:tcW w:type="pct" w:w="3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Database gestito</w:t>
            </w:r>
          </w:p>
        </w:tc>
        <w:tc>
          <w:tcPr>
            <w:tcW w:type="pct" w:w="7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Azure SQL Database (tier Basic)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Registro immagini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GitHub Container Registry (ghcr.io/lufo-336/blueharbor)</w:t>
            </w:r>
          </w:p>
        </w:tc>
      </w:tr>
      <w:tr>
        <w:tc>
          <w:tcPr>
            <w:tcW w:type="pct" w:w="3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CI/CD</w:t>
            </w:r>
          </w:p>
        </w:tc>
        <w:tc>
          <w:tcPr>
            <w:tcW w:type="pct" w:w="7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GitHub Actions (.github/workflows/deploy.yml) su push a main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Segreti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Connection string e chiave JWT come secret della Container App, iniettati via variabili d’ambiente: non nel repo né nell’immagine</w:t>
            </w:r>
          </w:p>
        </w:tc>
      </w:tr>
      <w:tr>
        <w:tc>
          <w:tcPr>
            <w:tcW w:type="pct" w:w="3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Telemetria</w:t>
            </w:r>
          </w:p>
        </w:tc>
        <w:tc>
          <w:tcPr>
            <w:tcW w:type="pct" w:w="7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Application Insights, attiva solo se configurata (spenta in locale)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Piano B della demo</w:t>
      </w:r>
      <w:r>
        <w:t xml:space="preserve"> — un </w:t>
      </w:r>
      <w:r>
        <w:rPr>
          <w:rFonts w:ascii="Consolas" w:cs="Consolas" w:eastAsia="Consolas" w:hAnsi="Consolas"/>
          <w:sz w:val="19"/>
          <w:szCs w:val="19"/>
        </w:rPr>
        <w:t xml:space="preserve">docker compose up --build</w:t>
      </w:r>
      <w:r>
        <w:t xml:space="preserve"> avvia in locale DB + app su un solo comando, con auto-inizializzazione dello schema e seed.</w:t>
      </w:r>
    </w:p>
    <w:p>
      <w:r>
        <w:br w:type="page"/>
      </w:r>
    </w:p>
    <w:p>
      <w:pPr>
        <w:pStyle w:val="Heading1"/>
      </w:pPr>
      <w:bookmarkStart w:name="bm7" w:id="1"/>
      <w:r>
        <w:t xml:space="preserve">4. Componenti principali e responsabilità</w:t>
      </w:r>
      <w:bookmarkEnd w:id="1"/>
    </w:p>
    <w:p>
      <w:pPr>
        <w:pStyle w:val="Heading2"/>
      </w:pPr>
      <w:bookmarkStart w:name="bm8" w:id="1"/>
      <w:r>
        <w:t xml:space="preserve">4.1 Frontend (React)</w:t>
      </w:r>
      <w:bookmarkEnd w:id="1"/>
    </w:p>
    <w:tbl>
      <w:tblPr>
        <w:tblW w:type="pct" w:w="100%"/>
        <w:tblBorders>
          <w:top w:val="single" w:color="D5DAE2" w:sz="4"/>
          <w:left w:val="single" w:color="D5DAE2" w:sz="4"/>
          <w:bottom w:val="single" w:color="D5DAE2" w:sz="4"/>
          <w:right w:val="single" w:color="D5DAE2" w:sz="4"/>
          <w:insideH w:val="single" w:color="D5DAE2" w:sz="4"/>
          <w:insideV w:val="single" w:color="D5DAE2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pct" w:w="60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Responsabilità</w:t>
            </w:r>
          </w:p>
        </w:tc>
      </w:tr>
      <w:t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Viste ruolo (OperatorView, SchedulerView, AdminView)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Interfaccia operativa specifica del ruolo. AdminView incorpora e riusa le viste Operatore e Scheduler tramite tab.</w:t>
            </w:r>
          </w:p>
        </w:tc>
      </w:tr>
      <w:tr>
        <w:tc>
          <w:tcPr>
            <w:tcW w:type="pct" w:w="4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AuthPage</w:t>
            </w:r>
          </w:p>
        </w:tc>
        <w:tc>
          <w:tcPr>
            <w:tcW w:type="pct" w:w="6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Login, account demo, selettore lingua e tema prima dell’accesso.</w:t>
            </w:r>
          </w:p>
        </w:tc>
      </w:tr>
      <w:t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Context (Auth, Day, Prefs, Toast)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Stato applicativo: utente/sessione JWT, giorno virtuale reale dal backend, preferenze (tema, formato tempo, lingua), notifiche a comparsa.</w:t>
            </w:r>
          </w:p>
        </w:tc>
      </w:tr>
      <w:tr>
        <w:tc>
          <w:tcPr>
            <w:tcW w:type="pct" w:w="4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services/api.js</w:t>
            </w:r>
          </w:p>
        </w:tc>
        <w:tc>
          <w:tcPr>
            <w:tcW w:type="pct" w:w="6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Unico punto di accesso HTTP: allega il token, gestisce 401 (sessione scaduta) e legge il campo detail dei Problem Details.</w:t>
            </w:r>
          </w:p>
        </w:tc>
      </w:tr>
      <w:t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services/scheduling.js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Replica CLIENT dell’algoritmo di accodamento, usata SOLO per l’anteprima in timeline (la verità resta il server).</w:t>
            </w:r>
          </w:p>
        </w:tc>
      </w:tr>
      <w:tr>
        <w:tc>
          <w:tcPr>
            <w:tcW w:type="pct" w:w="4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services/time.js + i18n/copy.js</w:t>
            </w:r>
          </w:p>
        </w:tc>
        <w:tc>
          <w:tcPr>
            <w:tcW w:type="pct" w:w="6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Formattazione del tempo locale-aware e dizionario bilingue IT/EN con funzione di traduzione.</w:t>
            </w:r>
          </w:p>
        </w:tc>
      </w:tr>
      <w:t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Modal, Toast, LoadingSpinner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Componenti UI riutilizzabili.</w:t>
            </w:r>
          </w:p>
        </w:tc>
      </w:tr>
    </w:tbl>
    <w:p>
      <w:pPr>
        <w:pStyle w:val="Heading2"/>
      </w:pPr>
      <w:bookmarkStart w:name="bm9" w:id="1"/>
      <w:r>
        <w:t xml:space="preserve">4.2 Backend (ASP.NET Core)</w:t>
      </w:r>
      <w:bookmarkEnd w:id="1"/>
    </w:p>
    <w:tbl>
      <w:tblPr>
        <w:tblW w:type="pct" w:w="100%"/>
        <w:tblBorders>
          <w:top w:val="single" w:color="D5DAE2" w:sz="4"/>
          <w:left w:val="single" w:color="D5DAE2" w:sz="4"/>
          <w:bottom w:val="single" w:color="D5DAE2" w:sz="4"/>
          <w:right w:val="single" w:color="D5DAE2" w:sz="4"/>
          <w:insideH w:val="single" w:color="D5DAE2" w:sz="4"/>
          <w:insideV w:val="single" w:color="D5DAE2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pct" w:w="66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Responsabilità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AuthController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Login, /me, logout. Emette il JWT con il claim di ruolo.</w:t>
            </w:r>
          </w:p>
        </w:tc>
      </w:tr>
      <w:tr>
        <w:tc>
          <w:tcPr>
            <w:tcW w:type="pct" w:w="34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ShipsController</w:t>
            </w:r>
          </w:p>
        </w:tc>
        <w:tc>
          <w:tcPr>
            <w:tcW w:type="pct" w:w="66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CRUD navi, assegnazione, annullo assegnazione e modifica assegnazione (prima dell’inizio occupazione).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SchedulerController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Dashboard dello Scheduler: banchine, occupazioni, manutenzioni, navi in attesa.</w:t>
            </w:r>
          </w:p>
        </w:tc>
      </w:tr>
      <w:tr>
        <w:tc>
          <w:tcPr>
            <w:tcW w:type="pct" w:w="34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HistoryController</w:t>
            </w:r>
          </w:p>
        </w:tc>
        <w:tc>
          <w:tcPr>
            <w:tcW w:type="pct" w:w="66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Storico assegnazioni in sola lettura + export CSV.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AdminController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Gestione utenti, manutenzioni banchina, reset della simulazione.</w:t>
            </w:r>
          </w:p>
        </w:tc>
      </w:tr>
      <w:tr>
        <w:tc>
          <w:tcPr>
            <w:tcW w:type="pct" w:w="34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TimeController / SystemController</w:t>
            </w:r>
          </w:p>
        </w:tc>
        <w:tc>
          <w:tcPr>
            <w:tcW w:type="pct" w:w="66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Giorno virtuale corrente, riepilogo terminal, azione Next Day.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SchedulingRules (servizio)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Funzioni pure: compatibilità di taglia e calcolo del primo slot libero (accodamento).</w:t>
            </w:r>
          </w:p>
        </w:tc>
      </w:tr>
      <w:tr>
        <w:tc>
          <w:tcPr>
            <w:tcW w:type="pct" w:w="34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TimeService</w:t>
            </w:r>
          </w:p>
        </w:tc>
        <w:tc>
          <w:tcPr>
            <w:tcW w:type="pct" w:w="66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Avanzamento transazionale del giorno virtuale e transizione a Departed.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TokenService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Firma/validazione JWT.</w:t>
            </w:r>
          </w:p>
        </w:tc>
      </w:tr>
      <w:tr>
        <w:tc>
          <w:tcPr>
            <w:tcW w:type="pct" w:w="34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ShipGeneratorService</w:t>
            </w:r>
          </w:p>
        </w:tc>
        <w:tc>
          <w:tcPr>
            <w:tcW w:type="pct" w:w="66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Generazione casuale dei dati nave (taglia, arrivo, durata) secondo la commessa.</w:t>
            </w:r>
          </w:p>
        </w:tc>
      </w:tr>
    </w:tbl>
    <w:p>
      <w:pPr>
        <w:pStyle w:val="Heading2"/>
      </w:pPr>
      <w:bookmarkStart w:name="bm10" w:id="1"/>
      <w:r>
        <w:t xml:space="preserve">4.3 Database</w:t>
      </w:r>
      <w:bookmarkEnd w:id="1"/>
    </w:p>
    <w:p>
      <w:pPr>
        <w:spacing w:after="120" w:line="276"/>
      </w:pPr>
      <w:r>
        <w:t xml:space="preserve">Schema relazionale con le 8 banchine fisse seminate all’avvio (1 XL, 1 L, 2 M, 4 S), una tabella di impostazioni per il giorno virtuale e lo storico append-only. Gli script incrementali (script5→script8) documentano l’evoluzione: base, storico, ruolo Admin, manutenzioni banchina.</w:t>
      </w:r>
    </w:p>
    <w:p>
      <w:r>
        <w:br w:type="page"/>
      </w:r>
    </w:p>
    <w:p>
      <w:pPr>
        <w:pStyle w:val="Heading1"/>
      </w:pPr>
      <w:bookmarkStart w:name="bm11" w:id="1"/>
      <w:r>
        <w:t xml:space="preserve">5. Modello dati ad alto livello</w:t>
      </w:r>
      <w:bookmarkEnd w:id="1"/>
    </w:p>
    <w:p>
      <w:pPr>
        <w:spacing w:after="120" w:line="276"/>
      </w:pPr>
      <w:r>
        <w:t xml:space="preserve">Le entità principali e i loro campi salienti. Le chiavi esterne collegano le navi alle banchine e lo storico a navi e banchine.</w:t>
      </w:r>
    </w:p>
    <w:tbl>
      <w:tblPr>
        <w:tblW w:type="pct" w:w="100%"/>
        <w:tblBorders>
          <w:top w:val="single" w:color="D5DAE2" w:sz="4"/>
          <w:left w:val="single" w:color="D5DAE2" w:sz="4"/>
          <w:bottom w:val="single" w:color="D5DAE2" w:sz="4"/>
          <w:right w:val="single" w:color="D5DAE2" w:sz="4"/>
          <w:insideH w:val="single" w:color="D5DAE2" w:sz="4"/>
          <w:insideV w:val="single" w:color="D5DAE2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Entità</w:t>
            </w:r>
          </w:p>
        </w:tc>
        <w:tc>
          <w:tcPr>
            <w:tcW w:type="pct" w:w="46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Campi principali</w:t>
            </w:r>
          </w:p>
        </w:tc>
        <w:tc>
          <w:tcPr>
            <w:tcW w:type="pct" w:w="34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User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Id, Username (email), Role, PasswordHash, IsActive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Ruolo ∈ {Operator, Scheduler, Admin} (CHECK). Un solo ruolo per utente. Hash PBKDF2.</w:t>
            </w:r>
          </w:p>
        </w:tc>
      </w:tr>
      <w:tr>
        <w:tc>
          <w:tcPr>
            <w:tcW w:type="pct" w:w="2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Ship</w:t>
            </w:r>
          </w:p>
        </w:tc>
        <w:tc>
          <w:tcPr>
            <w:tcW w:type="pct" w:w="46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Id, Name, Size, ArrivalDay, Duration, Status, BerthId?, OccupationStartDay?, Notes</w:t>
            </w:r>
          </w:p>
        </w:tc>
        <w:tc>
          <w:tcPr>
            <w:tcW w:type="pct" w:w="34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Size ∈ {S,M,L,XL}; Status ∈ {Pending,Assigned,Departed}. BerthId/OccupationStartDay valorizzati all’assegnazione.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Berth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Id, Name, Size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Insieme FISSO di 8: XL-1, L-1, M-1, M-2, S-1..S-4.</w:t>
            </w:r>
          </w:p>
        </w:tc>
      </w:tr>
      <w:tr>
        <w:tc>
          <w:tcPr>
            <w:tcW w:type="pct" w:w="2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BerthMaintenance</w:t>
            </w:r>
          </w:p>
        </w:tc>
        <w:tc>
          <w:tcPr>
            <w:tcW w:type="pct" w:w="46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Id, BerthId, StartDay, EndDay</w:t>
            </w:r>
          </w:p>
        </w:tc>
        <w:tc>
          <w:tcPr>
            <w:tcW w:type="pct" w:w="34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Finestra [inizio, fine) di indisponibilità della banchina.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AssignmentHistory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Id, ShipId, BerthId, EventType, OccupationStart/EndDay, EventDay (+ snapshot nome/taglia/banchina)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Tabella append-only. EventType ∈ {Assigned, Departed}. Alimentata da assegnazione e Next Day.</w:t>
            </w:r>
          </w:p>
        </w:tc>
      </w:tr>
      <w:tr>
        <w:tc>
          <w:tcPr>
            <w:tcW w:type="pct" w:w="2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Setting</w:t>
            </w:r>
          </w:p>
        </w:tc>
        <w:tc>
          <w:tcPr>
            <w:tcW w:type="pct" w:w="46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Key, Value (CurrentVirtualDay, Day1Date)</w:t>
            </w:r>
          </w:p>
        </w:tc>
        <w:tc>
          <w:tcPr>
            <w:tcW w:type="pct" w:w="34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Stato di sistema: giorno virtuale corrente ed eventuale data calendario del giorno 1.</w:t>
            </w:r>
          </w:p>
        </w:tc>
      </w:tr>
    </w:tbl>
    <w:tbl>
      <w:tblPr>
        <w:tblW w:type="pct" w:w="100%"/>
        <w:tblBorders>
          <w:top w:val="none"/>
          <w:left w:val="single" w:color="C8A45A" w:sz="2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3F5F8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A1628"/>
              </w:rPr>
              <w:t xml:space="preserve">Storico append-only</w:t>
            </w:r>
          </w:p>
          <w:p>
            <w:pPr>
              <w:spacing w:after="0"/>
            </w:pPr>
            <w:r>
              <w:t xml:space="preserve">AssignmentHistory non viene mai modificato o cancellato: è un audit trail. Le righe sono scritte nella STESSA transazione dell’assegnazione e della partenza, garantendo coerenza tra stato della nave e cronologia.</w:t>
            </w:r>
          </w:p>
        </w:tc>
      </w:tr>
    </w:tbl>
    <w:p>
      <w:pPr>
        <w:pStyle w:val="Heading1"/>
      </w:pPr>
      <w:bookmarkStart w:name="bm12" w:id="1"/>
      <w:r>
        <w:t xml:space="preserve">6. Regole di dominio e algoritmi</w:t>
      </w:r>
      <w:bookmarkEnd w:id="1"/>
    </w:p>
    <w:p>
      <w:pPr>
        <w:pStyle w:val="Heading2"/>
      </w:pPr>
      <w:bookmarkStart w:name="bm13" w:id="1"/>
      <w:r>
        <w:t xml:space="preserve">6.1 Taglie e compatibilità</w:t>
      </w:r>
      <w:bookmarkEnd w:id="1"/>
    </w:p>
    <w:p>
      <w:pPr>
        <w:spacing w:after="120" w:line="276"/>
      </w:pPr>
      <w:r>
        <w:rPr>
          <w:b/>
          <w:bCs/>
        </w:rPr>
        <w:t xml:space="preserve">Regola. </w:t>
      </w:r>
      <w:r>
        <w:t xml:space="preserve">Una banchina ospita solo navi della propria identica taglia (</w:t>
      </w:r>
      <w:r>
        <w:rPr>
          <w:rFonts w:ascii="Consolas" w:cs="Consolas" w:eastAsia="Consolas" w:hAnsi="Consolas"/>
          <w:sz w:val="19"/>
          <w:szCs w:val="19"/>
        </w:rPr>
        <w:t xml:space="preserve">shipSize == berthSize</w:t>
      </w:r>
      <w:r>
        <w:t xml:space="preserve">). Non esistono compatibilità "una taglia più grande": è un vincolo di dominio esplicito.</w:t>
      </w:r>
    </w:p>
    <w:p>
      <w:pPr>
        <w:pStyle w:val="Heading2"/>
      </w:pPr>
      <w:bookmarkStart w:name="bm14" w:id="1"/>
      <w:r>
        <w:t xml:space="preserve">6.2 Generazione della nave</w:t>
      </w:r>
      <w:bookmarkEnd w:id="1"/>
    </w:p>
    <w:p>
      <w:pPr>
        <w:spacing w:after="120" w:line="276"/>
      </w:pPr>
      <w:r>
        <w:t xml:space="preserve">Alla creazione, il sistema genera automaticamente i dati operativi; l’operatore fornisce solo nome e note. La nave nasce in stato Pending, senza banchina.</w:t>
      </w:r>
    </w:p>
    <w:tbl>
      <w:tblPr>
        <w:tblW w:type="pct" w:w="100%"/>
        <w:tblBorders>
          <w:top w:val="single" w:color="D5DAE2" w:sz="4"/>
          <w:left w:val="single" w:color="D5DAE2" w:sz="4"/>
          <w:bottom w:val="single" w:color="D5DAE2" w:sz="4"/>
          <w:right w:val="single" w:color="D5DAE2" w:sz="4"/>
          <w:insideH w:val="single" w:color="D5DAE2" w:sz="4"/>
          <w:insideV w:val="single" w:color="D5DAE2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pct" w:w="70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Regola di generazione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Taglia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Casuale tra S, M, L, XL (uniforme).</w:t>
            </w:r>
          </w:p>
        </w:tc>
      </w:tr>
      <w:tr>
        <w:tc>
          <w:tcPr>
            <w:tcW w:type="pct" w:w="3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Giorno di arrivo</w:t>
            </w:r>
          </w:p>
        </w:tc>
        <w:tc>
          <w:tcPr>
            <w:tcW w:type="pct" w:w="7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Casuale da +1 a +30 giorni rispetto al giorno corrente.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Durata occupazione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Casuale tra 3 e 15 giorni (inclusi).</w:t>
            </w:r>
          </w:p>
        </w:tc>
      </w:tr>
    </w:tbl>
    <w:p>
      <w:pPr>
        <w:pStyle w:val="Heading2"/>
      </w:pPr>
      <w:bookmarkStart w:name="bm15" w:id="1"/>
      <w:r>
        <w:t xml:space="preserve">6.3 Ciclo di vita</w:t>
      </w:r>
      <w:bookmarkEnd w:id="1"/>
    </w:p>
    <w:p>
      <w:pPr>
        <w:spacing w:after="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shd w:fill="A8863F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Pending</w:t>
            </w:r>
          </w:p>
          <w:p>
            <w:pPr>
              <w:spacing w:after="0" w:before="20"/>
              <w:jc w:val="center"/>
            </w:pPr>
            <w:r>
              <w:rPr>
                <w:color w:val="DCE3EF"/>
                <w:sz w:val="15"/>
                <w:szCs w:val="15"/>
              </w:rPr>
              <w:t xml:space="preserve">registrata, in attesa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A8863F"/>
                <w:sz w:val="32"/>
                <w:szCs w:val="32"/>
              </w:rPr>
              <w:t xml:space="preserve">→</w:t>
            </w:r>
          </w:p>
        </w:tc>
        <w:tc>
          <w:tcPr>
            <w:tcW w:type="pct" w:w="26%"/>
            <w:shd w:fill="1A3360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Assigned</w:t>
            </w:r>
          </w:p>
          <w:p>
            <w:pPr>
              <w:spacing w:after="0" w:before="20"/>
              <w:jc w:val="center"/>
            </w:pPr>
            <w:r>
              <w:rPr>
                <w:color w:val="DCE3EF"/>
                <w:sz w:val="15"/>
                <w:szCs w:val="15"/>
              </w:rPr>
              <w:t xml:space="preserve">banchina assegnata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A8863F"/>
                <w:sz w:val="32"/>
                <w:szCs w:val="32"/>
              </w:rPr>
              <w:t xml:space="preserve">→</w:t>
            </w:r>
          </w:p>
        </w:tc>
        <w:tc>
          <w:tcPr>
            <w:tcW w:type="pct" w:w="26%"/>
            <w:shd w:fill="5B6470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Departed</w:t>
            </w:r>
          </w:p>
          <w:p>
            <w:pPr>
              <w:spacing w:after="0" w:before="20"/>
              <w:jc w:val="center"/>
            </w:pPr>
            <w:r>
              <w:rPr>
                <w:color w:val="DCE3EF"/>
                <w:sz w:val="15"/>
                <w:szCs w:val="15"/>
              </w:rPr>
              <w:t xml:space="preserve">occupazione conclusa</w:t>
            </w:r>
          </w:p>
        </w:tc>
      </w:tr>
    </w:tbl>
    <w:p>
      <w:pPr>
        <w:spacing w:after="80"/>
      </w:pPr>
    </w:p>
    <w:p>
      <w:pPr>
        <w:pStyle w:val="Heading2"/>
      </w:pPr>
      <w:bookmarkStart w:name="bm16" w:id="1"/>
      <w:r>
        <w:t xml:space="preserve">6.4 Algoritmo di accodamento</w:t>
      </w:r>
      <w:bookmarkEnd w:id="1"/>
    </w:p>
    <w:p>
      <w:pPr>
        <w:spacing w:after="120" w:line="276"/>
      </w:pPr>
      <w:r>
        <w:rPr>
          <w:b/>
          <w:bCs/>
        </w:rPr>
        <w:t xml:space="preserve">Obiettivo. </w:t>
      </w:r>
      <w:r>
        <w:t xml:space="preserve">Dato l’arrivo, la durata, il giorno corrente e le occupazioni già presenti su una banchina, trovare il PRIMO giorno con un intervallo libero lungo almeno la durata, mai prima dell’arrivo né nel passato. È il cuore del prodotto e vive come funzione pura in </w:t>
      </w:r>
      <w:r>
        <w:rPr>
          <w:rFonts w:ascii="Consolas" w:cs="Consolas" w:eastAsia="Consolas" w:hAnsi="Consolas"/>
          <w:sz w:val="19"/>
          <w:szCs w:val="19"/>
        </w:rPr>
        <w:t xml:space="preserve">SchedulingRules.ComputeOccupationStartDay</w:t>
      </w:r>
      <w:r>
        <w:t xml:space="preserve">.</w:t>
      </w:r>
    </w:p>
    <w:p>
      <w:pPr>
        <w:shd w:fill="0E1B2E" w:color="auto" w:val="clear"/>
        <w:spacing w:after="60" w:before="60"/>
      </w:pPr>
      <w:r>
        <w:rPr>
          <w:rFonts w:ascii="Consolas" w:cs="Consolas" w:eastAsia="Consolas" w:hAnsi="Consolas"/>
          <w:color w:val="E7EDF5"/>
          <w:sz w:val="18"/>
          <w:szCs w:val="18"/>
        </w:rPr>
        <w:t xml:space="preserve">candidate = max(arrivalDay, currentDay)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Si scorrono le occupazioni esistenti in ordine di inizio crescente.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Se prima della prossima occupazione c’è un buco ≥ durata (occ.start ≥ candidate + durata) → il candidato va bene: è il giorno di inizio.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Altrimenti l’occupazione blocca: si sposta il candidato alla sua fine (candidate = max(candidate, occ.end)) e si continua.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Se nessuna occupazione successiva blocca, la nave si accoda in fondo a partire dal candidato.</w:t>
      </w:r>
    </w:p>
    <w:tbl>
      <w:tblPr>
        <w:tblW w:type="pct" w:w="100%"/>
        <w:tblBorders>
          <w:top w:val="none"/>
          <w:left w:val="single" w:color="C8A45A" w:sz="2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3F5F8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A1628"/>
              </w:rPr>
              <w:t xml:space="preserve">Anteprima lato client</w:t>
            </w:r>
          </w:p>
          <w:p>
            <w:pPr>
              <w:spacing w:after="0"/>
            </w:pPr>
            <w:r>
              <w:t xml:space="preserve">Lo stesso algoritmo è replicato nel frontend (services/scheduling.js) SOLO per mostrare in tempo reale l’anteprima del primo slot libero mentre lo Scheduler valuta una banchina. La decisione VERA è sempre quella calcolata dal server alla conferma. Un controllo di parità (checks/scheduling.check.mjs) tiene allineate le due copie.</w:t>
            </w:r>
          </w:p>
        </w:tc>
      </w:tr>
    </w:tbl>
    <w:p>
      <w:pPr>
        <w:pStyle w:val="Heading2"/>
      </w:pPr>
      <w:bookmarkStart w:name="bm17" w:id="1"/>
      <w:r>
        <w:t xml:space="preserve">6.5 Modello temporale e Next Day</w:t>
      </w:r>
      <w:bookmarkEnd w:id="1"/>
    </w:p>
    <w:p>
      <w:pPr>
        <w:spacing w:after="120" w:line="276"/>
      </w:pPr>
      <w:r>
        <w:t xml:space="preserve">L’azione Next Day avanza il giorno virtuale di uno, in modo transazionale, e imposta a Departed le navi la cui occupazione è terminata (fine ≤ nuovo giorno). Non effettua assegnazioni automatiche. La finestra temporale e le viste si aggiornano di conseguenza.</w:t>
      </w:r>
    </w:p>
    <w:p>
      <w:pPr>
        <w:pStyle w:val="Heading2"/>
      </w:pPr>
      <w:bookmarkStart w:name="bm18" w:id="1"/>
      <w:r>
        <w:t xml:space="preserve">6.6 Manutenzioni banchina</w:t>
      </w:r>
      <w:bookmarkEnd w:id="1"/>
    </w:p>
    <w:p>
      <w:pPr>
        <w:spacing w:after="120" w:line="276"/>
      </w:pPr>
      <w:r>
        <w:t xml:space="preserve">L’Admin può dichiarare finestre [inizio, fine) in cui una banchina non è utilizzabile. Le navi assegnate DOPO si accodano oltre la finestra, riusando lo stesso algoritmo (la manutenzione blocca come un’occupazione). Una manutenzione che incrocia navi GIÀ assegnate viene rifiutata (409): le navi assegnate non si spostano mai. Il set di 8 banchine non cambia: cambia solo la loro disponibilità.</w:t>
      </w:r>
    </w:p>
    <w:p>
      <w:pPr>
        <w:pStyle w:val="Heading2"/>
      </w:pPr>
      <w:bookmarkStart w:name="bm19" w:id="1"/>
      <w:r>
        <w:t xml:space="preserve">6.7 Storico assegnazioni</w:t>
      </w:r>
      <w:bookmarkEnd w:id="1"/>
    </w:p>
    <w:p>
      <w:pPr>
        <w:spacing w:after="120" w:line="276"/>
      </w:pPr>
      <w:r>
        <w:t xml:space="preserve">Ogni assegnazione e ogni partenza generano una riga in AssignmentHistory, consultabile in sola lettura (con filtro per tipo evento) ed esportabile in CSV. È un registro di ciò che è accaduto, non un meccanismo di riassegnazione.</w:t>
      </w:r>
    </w:p>
    <w:p>
      <w:r>
        <w:br w:type="page"/>
      </w:r>
    </w:p>
    <w:p>
      <w:pPr>
        <w:pStyle w:val="Heading1"/>
      </w:pPr>
      <w:bookmarkStart w:name="bm20" w:id="1"/>
      <w:r>
        <w:t xml:space="preserve">7. API principali</w:t>
      </w:r>
      <w:bookmarkEnd w:id="1"/>
    </w:p>
    <w:p>
      <w:pPr>
        <w:spacing w:after="120" w:line="276"/>
      </w:pPr>
      <w:r>
        <w:rPr>
          <w:b/>
          <w:bCs/>
        </w:rPr>
        <w:t xml:space="preserve">Autenticazione. </w:t>
      </w:r>
      <w:r>
        <w:t xml:space="preserve">Tutti gli endpoint applicativi richiedono un JWT (</w:t>
      </w:r>
      <w:r>
        <w:rPr>
          <w:rFonts w:ascii="Consolas" w:cs="Consolas" w:eastAsia="Consolas" w:hAnsi="Consolas"/>
          <w:sz w:val="19"/>
          <w:szCs w:val="19"/>
        </w:rPr>
        <w:t xml:space="preserve">Authorization: Bearer …</w:t>
      </w:r>
      <w:r>
        <w:t xml:space="preserve">) e sono protetti per ruolo (</w:t>
      </w:r>
      <w:r>
        <w:rPr>
          <w:rFonts w:ascii="Consolas" w:cs="Consolas" w:eastAsia="Consolas" w:hAnsi="Consolas"/>
          <w:sz w:val="19"/>
          <w:szCs w:val="19"/>
        </w:rPr>
        <w:t xml:space="preserve">[Authorize(Roles=…)]</w:t>
      </w:r>
      <w:r>
        <w:t xml:space="preserve">). L’accesso non autorizzato restituisce 401/403. Gli errori funzionali sono Problem Details con un campo </w:t>
      </w:r>
      <w:r>
        <w:rPr>
          <w:rFonts w:ascii="Consolas" w:cs="Consolas" w:eastAsia="Consolas" w:hAnsi="Consolas"/>
          <w:sz w:val="19"/>
          <w:szCs w:val="19"/>
        </w:rPr>
        <w:t xml:space="preserve">detail</w:t>
      </w:r>
      <w:r>
        <w:t xml:space="preserve"> leggibile, che il frontend mostra nelle notifiche.</w:t>
      </w:r>
    </w:p>
    <w:tbl>
      <w:tblPr>
        <w:tblW w:type="pct" w:w="100%"/>
        <w:tblBorders>
          <w:top w:val="single" w:color="D5DAE2" w:sz="4"/>
          <w:left w:val="single" w:color="D5DAE2" w:sz="4"/>
          <w:bottom w:val="single" w:color="D5DAE2" w:sz="4"/>
          <w:right w:val="single" w:color="D5DAE2" w:sz="4"/>
          <w:insideH w:val="single" w:color="D5DAE2" w:sz="4"/>
          <w:insideV w:val="single" w:color="D5DAE2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pct" w:w="58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Endpoint (metodo)</w:t>
            </w:r>
          </w:p>
        </w:tc>
        <w:tc>
          <w:tcPr>
            <w:tcW w:type="pct" w:w="22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Ruolo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Auth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POST /api/auth/login · GET /api/auth/me · POST /api/auth/logout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Pubblico / autenticato</w:t>
            </w:r>
          </w:p>
        </w:tc>
      </w:tr>
      <w:tr>
        <w:tc>
          <w:tcPr>
            <w:tcW w:type="pct" w:w="2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Navi</w:t>
            </w:r>
          </w:p>
        </w:tc>
        <w:tc>
          <w:tcPr>
            <w:tcW w:type="pct" w:w="58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GET /api/ships (paginato, filtri) · POST · PUT · DELETE /api/ships/{id}</w:t>
            </w:r>
          </w:p>
        </w:tc>
        <w:tc>
          <w:tcPr>
            <w:tcW w:type="pct" w:w="22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Operator / Admin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Assegnazione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POST /api/ships/{id}/assign · POST /unassign · PUT /assignment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Scheduler / Admin</w:t>
            </w:r>
          </w:p>
        </w:tc>
      </w:tr>
      <w:tr>
        <w:tc>
          <w:tcPr>
            <w:tcW w:type="pct" w:w="2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Scheduler</w:t>
            </w:r>
          </w:p>
        </w:tc>
        <w:tc>
          <w:tcPr>
            <w:tcW w:type="pct" w:w="58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GET /api/scheduler/dashboard</w:t>
            </w:r>
          </w:p>
        </w:tc>
        <w:tc>
          <w:tcPr>
            <w:tcW w:type="pct" w:w="22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Scheduler / Admin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Storico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GET /api/history · GET /api/history/export (CSV)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Scheduler / Admin</w:t>
            </w:r>
          </w:p>
        </w:tc>
      </w:tr>
      <w:tr>
        <w:tc>
          <w:tcPr>
            <w:tcW w:type="pct" w:w="2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Tempo/Sistema</w:t>
            </w:r>
          </w:p>
        </w:tc>
        <w:tc>
          <w:tcPr>
            <w:tcW w:type="pct" w:w="58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GET /api/system/current-day · GET /api/system/summary · POST /api/time/next-day</w:t>
            </w:r>
          </w:p>
        </w:tc>
        <w:tc>
          <w:tcPr>
            <w:tcW w:type="pct" w:w="22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Autenticato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Admin utenti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GET/POST /api/admin/users · PUT/DELETE /api/admin/users/{id}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Admin</w:t>
            </w:r>
          </w:p>
        </w:tc>
      </w:tr>
      <w:tr>
        <w:tc>
          <w:tcPr>
            <w:tcW w:type="pct" w:w="2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Admin manutenzioni</w:t>
            </w:r>
          </w:p>
        </w:tc>
        <w:tc>
          <w:tcPr>
            <w:tcW w:type="pct" w:w="58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GET/POST /api/admin/maintenance · DELETE /api/admin/maintenance/{id}</w:t>
            </w:r>
          </w:p>
        </w:tc>
        <w:tc>
          <w:tcPr>
            <w:tcW w:type="pct" w:w="22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Admin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Admin simulazione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POST /api/admin/simulation/reset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Admin</w:t>
            </w:r>
          </w:p>
        </w:tc>
      </w:tr>
    </w:tbl>
    <w:p>
      <w:pPr>
        <w:pStyle w:val="Heading1"/>
      </w:pPr>
      <w:bookmarkStart w:name="bm21" w:id="1"/>
      <w:r>
        <w:t xml:space="preserve">8. Sicurezza</w:t>
      </w:r>
      <w:bookmarkEnd w:id="1"/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Autenticazione JWT. </w:t>
      </w:r>
      <w:r>
        <w:t xml:space="preserve">Al login il server emette un token firmato che porta il claim di ruolo; il frontend lo allega a ogni chiamata e lo conserva. Alla scadenza (401) la sessione viene invalidata e si torna al login.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Autorizzazione per ruolo. </w:t>
      </w:r>
      <w:r>
        <w:t xml:space="preserve">Ogni endpoint dichiara i ruoli ammessi; il dominio e la piattaforma restano separati (l’Admin non assegna navi al posto dello Scheduler).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Password. </w:t>
      </w:r>
      <w:r>
        <w:t xml:space="preserve">Memorizzate come hash PBKDF2 (con salt), mai in chiaro. Reset e cambio password passano dagli endpoint Admin.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Segreti. </w:t>
      </w:r>
      <w:r>
        <w:t xml:space="preserve">Connection string e chiave JWT vivono come variabili d’ambiente/secret della piattaforma cloud: fuori dal repository e dall’immagine.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Superficie d’errore. </w:t>
      </w:r>
      <w:r>
        <w:t xml:space="preserve">Un gestore globale converte le eccezioni non previste in un Problem Details generico, senza esporre dettagli interni.</w:t>
      </w:r>
    </w:p>
    <w:p>
      <w:pPr>
        <w:pStyle w:val="Heading1"/>
      </w:pPr>
      <w:bookmarkStart w:name="bm22" w:id="1"/>
      <w:r>
        <w:t xml:space="preserve">9. Internazionalizzazione (IT/EN)</w:t>
      </w:r>
      <w:bookmarkEnd w:id="1"/>
    </w:p>
    <w:p>
      <w:pPr>
        <w:spacing w:after="120" w:line="276"/>
      </w:pPr>
      <w:r>
        <w:t xml:space="preserve">L’interfaccia è completamente bilingue italiano/inglese, con selettore in navbar e nella pagina di login. L’impostazione è persistente e la lingua iniziale è dedotta dal browser (fallback italiano).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Dizionario unico { it, en } con funzione di traduzione t(); i testi dinamici usano funzioni con parametri.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Formattazione locale-aware: date (it-IT / en-GB), durate ("giorni"/"days") e prefisso del giorno virtuale (g/d).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I messaggi d’errore del backend (in italiano) sono tradotti lato client con una mappa dedicata (voci esatte + pattern per i messaggi dinamici) e fallback morbido all’italiano se non riconosciuti.</w:t>
      </w:r>
    </w:p>
    <w:p>
      <w:r>
        <w:br w:type="page"/>
      </w:r>
    </w:p>
    <w:p>
      <w:pPr>
        <w:pStyle w:val="Heading1"/>
      </w:pPr>
      <w:bookmarkStart w:name="bm23" w:id="1"/>
      <w:r>
        <w:t xml:space="preserve">10. Decisioni progettuali e compromessi</w:t>
      </w:r>
      <w:bookmarkEnd w:id="1"/>
    </w:p>
    <w:tbl>
      <w:tblPr>
        <w:tblW w:type="pct" w:w="100%"/>
        <w:tblBorders>
          <w:top w:val="single" w:color="D5DAE2" w:sz="4"/>
          <w:left w:val="single" w:color="D5DAE2" w:sz="4"/>
          <w:bottom w:val="single" w:color="D5DAE2" w:sz="4"/>
          <w:right w:val="single" w:color="D5DAE2" w:sz="4"/>
          <w:insideH w:val="single" w:color="D5DAE2" w:sz="4"/>
          <w:insideV w:val="single" w:color="D5DAE2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Decisione</w:t>
            </w:r>
          </w:p>
        </w:tc>
        <w:tc>
          <w:tcPr>
            <w:tcW w:type="pct" w:w="66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Motivazione / compromesso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EF Core al posto di ADO.NET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Deviazione consapevole dal piano iniziale: evita di riscrivere il layer dati a mano, a fronte di un minor controllo sul SQL generato.</w:t>
            </w:r>
          </w:p>
        </w:tc>
      </w:tr>
      <w:tr>
        <w:tc>
          <w:tcPr>
            <w:tcW w:type="pct" w:w="34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Admin come ruolo di piattaforma</w:t>
            </w:r>
          </w:p>
        </w:tc>
        <w:tc>
          <w:tcPr>
            <w:tcW w:type="pct" w:w="66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Estensione ammessa e giustificata: gestisce utenti/ambiente ma NON scavalca le regole di dominio (niente riassegnazioni, niente bypass). Mantiene "un ruolo per utente".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Annullo nave solo se Pending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La commessa vieta modifiche DOPO l’assegnazione, non prima: correggere una registrazione errata è lecito ed è dichiarato come assunzione.</w:t>
            </w:r>
          </w:p>
        </w:tc>
      </w:tr>
      <w:tr>
        <w:tc>
          <w:tcPr>
            <w:tcW w:type="pct" w:w="34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Manutenzioni banchina</w:t>
            </w:r>
          </w:p>
        </w:tc>
        <w:tc>
          <w:tcPr>
            <w:tcW w:type="pct" w:w="66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Cambiano la disponibilità, non il set fisso di banchine; riusano l’algoritmo di accodamento; non spostano navi già assegnate.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Replica client dell’algoritmo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Solo per l’anteprima immediata in timeline; la verità resta il server, con check di parità.</w:t>
            </w:r>
          </w:p>
        </w:tc>
      </w:tr>
      <w:tr>
        <w:tc>
          <w:tcPr>
            <w:tcW w:type="pct" w:w="34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Niente auto-scheduling / KPI / real-time</w:t>
            </w:r>
          </w:p>
        </w:tc>
        <w:tc>
          <w:tcPr>
            <w:tcW w:type="pct" w:w="66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Fuori scope esplicito della commessa: si privilegia correttezza, chiarezza e qualità architetturale.</w:t>
            </w:r>
          </w:p>
        </w:tc>
      </w:tr>
    </w:tbl>
    <w:p>
      <w:pPr>
        <w:pStyle w:val="Heading1"/>
      </w:pPr>
      <w:bookmarkStart w:name="bm24" w:id="1"/>
      <w:r>
        <w:t xml:space="preserve">11. Qualità: build, test e CI/CD</w:t>
      </w:r>
      <w:bookmarkEnd w:id="1"/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Avvio locale. </w:t>
      </w:r>
      <w:r>
        <w:t xml:space="preserve">Docker Compose (un comando, con seed automatico) oppure server separati (dotnet run + npm run dev con proxy Vite).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Test. </w:t>
      </w:r>
      <w:r>
        <w:rPr>
          <w:rFonts w:ascii="Consolas" w:cs="Consolas" w:eastAsia="Consolas" w:hAnsi="Consolas"/>
          <w:sz w:val="19"/>
          <w:szCs w:val="19"/>
        </w:rPr>
        <w:t xml:space="preserve">dotnet test</w:t>
      </w:r>
      <w:r>
        <w:t xml:space="preserve"> esegue gli unit test xUnit su </w:t>
      </w:r>
      <w:r>
        <w:rPr>
          <w:rFonts w:ascii="Consolas" w:cs="Consolas" w:eastAsia="Consolas" w:hAnsi="Consolas"/>
          <w:sz w:val="19"/>
          <w:szCs w:val="19"/>
        </w:rPr>
        <w:t xml:space="preserve">SchedulingRules</w:t>
      </w:r>
      <w:r>
        <w:t xml:space="preserve"> (algoritmo di accodamento) e sull’hashing delle password.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Parità algoritmo. </w:t>
      </w:r>
      <w:r>
        <w:t xml:space="preserve">Il check </w:t>
      </w:r>
      <w:r>
        <w:rPr>
          <w:rFonts w:ascii="Consolas" w:cs="Consolas" w:eastAsia="Consolas" w:hAnsi="Consolas"/>
          <w:sz w:val="19"/>
          <w:szCs w:val="19"/>
        </w:rPr>
        <w:t xml:space="preserve">node checks/scheduling.check.mjs</w:t>
      </w:r>
      <w:r>
        <w:t xml:space="preserve"> verifica che la replica client resti allineata al backend.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CI/CD. </w:t>
      </w:r>
      <w:r>
        <w:t xml:space="preserve">GitHub Actions: build immagine → push su GHCR → aggiornamento della Container App, a ogni merge su main.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Schema versionato. </w:t>
      </w:r>
      <w:r>
        <w:t xml:space="preserve">Script T-SQL incrementali + modello EF allineato; </w:t>
      </w:r>
      <w:r>
        <w:rPr>
          <w:rFonts w:ascii="Consolas" w:cs="Consolas" w:eastAsia="Consolas" w:hAnsi="Consolas"/>
          <w:sz w:val="19"/>
          <w:szCs w:val="19"/>
        </w:rPr>
        <w:t xml:space="preserve">EnsureCreated()</w:t>
      </w:r>
      <w:r>
        <w:t xml:space="preserve"> completa lo schema mancante all’avvio.</w:t>
      </w:r>
    </w:p>
    <w:p>
      <w:pPr>
        <w:pStyle w:val="Heading1"/>
      </w:pPr>
      <w:bookmarkStart w:name="bm25" w:id="1"/>
      <w:r>
        <w:t xml:space="preserve">12. Struttura del repository</w:t>
      </w:r>
      <w:bookmarkEnd w:id="1"/>
    </w:p>
    <w:tbl>
      <w:tblPr>
        <w:tblW w:type="pct" w:w="100%"/>
        <w:tblBorders>
          <w:top w:val="single" w:color="D5DAE2" w:sz="4"/>
          <w:left w:val="single" w:color="D5DAE2" w:sz="4"/>
          <w:bottom w:val="single" w:color="D5DAE2" w:sz="4"/>
          <w:right w:val="single" w:color="D5DAE2" w:sz="4"/>
          <w:insideH w:val="single" w:color="D5DAE2" w:sz="4"/>
          <w:insideV w:val="single" w:color="D5DAE2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Cartella</w:t>
            </w:r>
          </w:p>
        </w:tc>
        <w:tc>
          <w:tcPr>
            <w:tcW w:type="pct" w:w="66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Contenuto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BlueHarbor_QPD_WSA.Server/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Backend: controller, servizi di dominio (SchedulingRules, TimeService…), auth, modelli EF.</w:t>
            </w:r>
          </w:p>
        </w:tc>
      </w:tr>
      <w:tr>
        <w:tc>
          <w:tcPr>
            <w:tcW w:type="pct" w:w="34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BlueHarbor_QPD_WSA.Server.Tests/</w:t>
            </w:r>
          </w:p>
        </w:tc>
        <w:tc>
          <w:tcPr>
            <w:tcW w:type="pct" w:w="66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Unit test xUnit.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frontend/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Frontend React: viste, context, services, i18n.</w:t>
            </w:r>
          </w:p>
        </w:tc>
      </w:tr>
      <w:tr>
        <w:tc>
          <w:tcPr>
            <w:tcW w:type="pct" w:w="34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database/</w:t>
            </w:r>
          </w:p>
        </w:tc>
        <w:tc>
          <w:tcPr>
            <w:tcW w:type="pct" w:w="66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Script T-SQL incrementali (script5→script8).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docs/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Documentazione di progetto e di consegna.</w:t>
            </w:r>
          </w:p>
        </w:tc>
      </w:tr>
      <w:tr>
        <w:tc>
          <w:tcPr>
            <w:tcW w:type="pct" w:w="34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.github/workflows/</w:t>
            </w:r>
          </w:p>
        </w:tc>
        <w:tc>
          <w:tcPr>
            <w:tcW w:type="pct" w:w="66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Pipeline CI/CD (deploy.yml).</w:t>
            </w:r>
          </w:p>
        </w:tc>
      </w:tr>
    </w:tbl>
    <w:p>
      <w:pPr>
        <w:pStyle w:val="Heading1"/>
      </w:pPr>
      <w:bookmarkStart w:name="bm26" w:id="1"/>
      <w:r>
        <w:t xml:space="preserve">13. Appendice — accesso rapido</w:t>
      </w:r>
      <w:bookmarkEnd w:id="1"/>
    </w:p>
    <w:p>
      <w:pPr>
        <w:spacing w:after="120" w:line="276"/>
      </w:pPr>
      <w:r>
        <w:rPr>
          <w:b/>
          <w:bCs/>
        </w:rPr>
        <w:t xml:space="preserve">URL pubblico (cloud): </w:t>
      </w:r>
      <w:r>
        <w:rPr>
          <w:rFonts w:ascii="Consolas" w:cs="Consolas" w:eastAsia="Consolas" w:hAnsi="Consolas"/>
          <w:sz w:val="19"/>
          <w:szCs w:val="19"/>
        </w:rPr>
        <w:t xml:space="preserve">https://app-blueharbor.politeriver-97b0d932.swedencentral.azurecontainerapps.io</w:t>
      </w:r>
    </w:p>
    <w:tbl>
      <w:tblPr>
        <w:tblW w:type="pct" w:w="100%"/>
        <w:tblBorders>
          <w:top w:val="single" w:color="D5DAE2" w:sz="4"/>
          <w:left w:val="single" w:color="D5DAE2" w:sz="4"/>
          <w:bottom w:val="single" w:color="D5DAE2" w:sz="4"/>
          <w:right w:val="single" w:color="D5DAE2" w:sz="4"/>
          <w:insideH w:val="single" w:color="D5DAE2" w:sz="4"/>
          <w:insideV w:val="single" w:color="D5DAE2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Ruolo</w:t>
            </w:r>
          </w:p>
        </w:tc>
        <w:tc>
          <w:tcPr>
            <w:tcW w:type="pct" w:w="46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Email</w:t>
            </w:r>
          </w:p>
        </w:tc>
        <w:tc>
          <w:tcPr>
            <w:tcW w:type="pct" w:w="30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Password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Operatore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operator@blueharbor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operator123</w:t>
            </w:r>
          </w:p>
        </w:tc>
      </w:tr>
      <w:tr>
        <w:tc>
          <w:tcPr>
            <w:tcW w:type="pct" w:w="24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Scheduler</w:t>
            </w:r>
          </w:p>
        </w:tc>
        <w:tc>
          <w:tcPr>
            <w:tcW w:type="pct" w:w="46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scheduler@blueharbor</w:t>
            </w:r>
          </w:p>
        </w:tc>
        <w:tc>
          <w:tcPr>
            <w:tcW w:type="pct" w:w="3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scheduler123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Admin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admin@blueharbor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t xml:space="preserve">admin123</w:t>
            </w:r>
          </w:p>
        </w:tc>
      </w:tr>
    </w:tbl>
    <w:p>
      <w:pPr>
        <w:spacing w:after="120" w:line="276"/>
      </w:pPr>
      <w:r>
        <w:rPr>
          <w:i/>
          <w:iCs/>
          <w:color w:val="5B6470"/>
          <w:sz w:val="18"/>
          <w:szCs w:val="18"/>
        </w:rPr>
        <w:t xml:space="preserve">Le credenziali demo sono a scopo di valutazione. In un’installazione reale vanno sostituite.</w:t>
      </w:r>
    </w:p>
    <w:sectPr>
      <w:headerReference w:type="default" r:id="rId7"/>
      <w:footerReference w:type="default" r:id="rId8"/>
      <w:pgSz w:w="11906" w:h="16838" w:orient="portrait"/>
      <w:pgMar w:top="13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0"/>
        <w:sz w:val="16"/>
        <w:szCs w:val="16"/>
      </w:rPr>
      <w:t xml:space="preserve">MSC — Learning by Project · </w:t>
    </w:r>
    <w:r>
      <w:rPr>
        <w:color w:val="5B6470"/>
        <w:sz w:val="16"/>
        <w:szCs w:val="16"/>
      </w:rPr>
      <w:t xml:space="preserve">Pag.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45A" w:sz="6" w:space="2"/>
      </w:pBdr>
      <w:spacing w:after="0"/>
    </w:pPr>
    <w:r>
      <w:rPr>
        <w:color w:val="5B6470"/>
        <w:sz w:val="16"/>
        <w:szCs w:val="16"/>
      </w:rPr>
      <w:t xml:space="preserve">BlueHarbor Terminal · Documentazione tecnica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A3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8A45A" w:sz="12" w:space="4"/>
      </w:pBdr>
      <w:spacing w:after="140" w:before="300"/>
    </w:pPr>
    <w:rPr>
      <w:rFonts w:ascii="Calibri" w:cs="Calibri" w:eastAsia="Calibri" w:hAnsi="Calibri"/>
      <w:b/>
      <w:bCs/>
      <w:color w:val="0A1628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20"/>
    </w:pPr>
    <w:rPr>
      <w:rFonts w:ascii="Calibri" w:cs="Calibri" w:eastAsia="Calibri" w:hAnsi="Calibri"/>
      <w:b/>
      <w:bCs/>
      <w:color w:val="112244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60" w:before="160"/>
    </w:pPr>
    <w:rPr>
      <w:rFonts w:ascii="Calibri" w:cs="Calibri" w:eastAsia="Calibri" w:hAnsi="Calibri"/>
      <w:b/>
      <w:bCs/>
      <w:color w:val="1A336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BlueHarbor Terminal — Documentazione tecnica</dc:title>
  <dc:creator>BlueHarbor Team</dc:creator>
  <dc:description>Documentazione tecnica del prodotto BlueHarbor Terminal</dc:description>
  <cp:lastModifiedBy>Un-named</cp:lastModifiedBy>
  <cp:revision>1</cp:revision>
  <dcterms:created xsi:type="dcterms:W3CDTF">2026-07-27T17:08:55.151Z</dcterms:created>
  <dcterms:modified xsi:type="dcterms:W3CDTF">2026-07-27T17:08:55.152Z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