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1.png" ContentType="image/png"/>
  <Override PartName="/word/media/rId82.png" ContentType="image/png"/>
  <Override PartName="/word/media/rId57.png" ContentType="image/png"/>
  <Override PartName="/word/media/rId63.png" ContentType="image/png"/>
  <Override PartName="/word/media/rId88.png" ContentType="image/png"/>
  <Override PartName="/word/media/rId76.png" ContentType="image/png"/>
  <Override PartName="/word/media/rId51.png" ContentType="image/png"/>
  <Override PartName="/word/media/rId94.pdf" ContentType="application/pdf"/>
  <Override PartName="/word/media/rId69.pdf" ContentType="application/pdf"/>
  <Override PartName="/word/media/rId3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Coral Reef Health Assessment and Restoration Prioritisation</w:t>
      </w:r>
    </w:p>
    <w:p>
      <w:pPr>
        <w:pStyle w:val="Subtitle"/>
      </w:pPr>
      <w:r>
        <w:t xml:space="preserve">Baseline Ecological Survey Report: Unguja North and Mtwara, Tanzania</w:t>
      </w:r>
    </w:p>
    <w:p>
      <w:pPr>
        <w:pStyle w:val="Date"/>
      </w:pPr>
      <w:r>
        <w:t xml:space="preserve">2026-04-19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Executive Summary</w:t>
      </w:r>
    </w:p>
    <w:p>
      <w:pPr>
        <w:pStyle w:val="FirstParagraph"/>
      </w:pPr>
      <w:r>
        <w:t xml:space="preserve">This report presents the findings of a baseline ecological survey conducted in March 2026 across seven coral reef sites in Unguja North and Mtwara, Tanzania. The assessment utilized four key metrics—benthic substrate composition, fish density, coral recruit density, and indicator invertebrate assemblages—to evaluate reef health and prioritize restoration efforts under the</w:t>
      </w:r>
      <w:r>
        <w:t xml:space="preserve"> </w:t>
      </w:r>
      <w:r>
        <w:rPr>
          <w:i/>
          <w:iCs/>
        </w:rPr>
        <w:t xml:space="preserve">Bahari Yetu</w:t>
      </w:r>
      <w:r>
        <w:t xml:space="preserve"> </w:t>
      </w:r>
      <w:r>
        <w:t xml:space="preserve">project.</w:t>
      </w:r>
    </w:p>
    <w:p>
      <w:pPr>
        <w:pStyle w:val="BodyText"/>
      </w:pPr>
      <w:r>
        <w:t xml:space="preserve">Key findings indicate that</w:t>
      </w:r>
      <w:r>
        <w:t xml:space="preserve"> </w:t>
      </w:r>
      <w:r>
        <w:rPr>
          <w:b/>
          <w:bCs/>
        </w:rPr>
        <w:t xml:space="preserve">Chamba Cha Kati</w:t>
      </w:r>
      <w:r>
        <w:t xml:space="preserve"> </w:t>
      </w:r>
      <w:r>
        <w:t xml:space="preserve">(Mtwara) remains the healthiest site, with the highest hard coral cover (80.8%) and superior fish densities. Conversely,</w:t>
      </w:r>
      <w:r>
        <w:t xml:space="preserve"> </w:t>
      </w:r>
      <w:r>
        <w:rPr>
          <w:b/>
          <w:bCs/>
        </w:rPr>
        <w:t xml:space="preserve">Chama Kangu</w:t>
      </w:r>
      <w:r>
        <w:t xml:space="preserve"> </w:t>
      </w:r>
      <w:r>
        <w:t xml:space="preserve">and</w:t>
      </w:r>
      <w:r>
        <w:t xml:space="preserve"> </w:t>
      </w:r>
      <w:r>
        <w:rPr>
          <w:b/>
          <w:bCs/>
        </w:rPr>
        <w:t xml:space="preserve">Mwamba Mrefu</w:t>
      </w:r>
      <w:r>
        <w:t xml:space="preserve"> </w:t>
      </w:r>
      <w:r>
        <w:t xml:space="preserve">(Unguja North) were identified as critically degraded, characterized by high algal dominance (&gt;75%) and low coral cover (&lt;10%), signaling an urgent need for active restoration. The study confirms that Marine Managed Areas (MMAs) generally support higher coral-to-algae ratios and fish biomass, though high-quality reefs like</w:t>
      </w:r>
      <w:r>
        <w:t xml:space="preserve"> </w:t>
      </w:r>
      <w:r>
        <w:rPr>
          <w:b/>
          <w:bCs/>
        </w:rPr>
        <w:t xml:space="preserve">Nusura</w:t>
      </w:r>
      <w:r>
        <w:t xml:space="preserve"> </w:t>
      </w:r>
      <w:r>
        <w:t xml:space="preserve">and</w:t>
      </w:r>
      <w:r>
        <w:t xml:space="preserve"> </w:t>
      </w:r>
      <w:r>
        <w:rPr>
          <w:b/>
          <w:bCs/>
        </w:rPr>
        <w:t xml:space="preserve">Viulu</w:t>
      </w:r>
      <w:r>
        <w:t xml:space="preserve"> </w:t>
      </w:r>
      <w:r>
        <w:t xml:space="preserve">currently lack formal protection.</w:t>
      </w:r>
    </w:p>
    <w:p>
      <w:pPr>
        <w:pStyle w:val="BodyText"/>
      </w:pPr>
      <w:r>
        <w:t xml:space="preserve">Restoration priorities are categorized into immediate, moderate, and maintenance tiers. Recommendations include active macroalgae removal and coral gardening for degraded sites, the establishment of new MMAs for healthy but unprotected reefs, and the implementation of biological controls (e.g., Crown-of-Thorns starfish removal) to ensure the long-term sustainability of Tanzania’s marine assets.</w:t>
      </w:r>
    </w:p>
    <w:p>
      <w:pPr>
        <w:pStyle w:val="BodyText"/>
      </w:pPr>
      <w:r>
        <w:t xml:space="preserve"> </w:t>
      </w:r>
      <w:r>
        <w:t xml:space="preserve"> </w:t>
      </w:r>
      <w:r>
        <w:t xml:space="preserve"> </w:t>
      </w:r>
      <w:r>
        <w:t xml:space="preserve"> </w:t>
      </w:r>
      <w:r>
        <w:t xml:space="preserve"> </w:t>
      </w:r>
      <w:r>
        <w:t xml:space="preserve"> </w:t>
      </w:r>
    </w:p>
    <w:bookmarkEnd w:id="20"/>
    <w:bookmarkStart w:id="21" w:name="acknowledgments"/>
    <w:p>
      <w:pPr>
        <w:pStyle w:val="Heading1"/>
      </w:pPr>
      <w:r>
        <w:t xml:space="preserve">Acknowledgments</w:t>
      </w:r>
    </w:p>
    <w:p>
      <w:pPr>
        <w:pStyle w:val="FirstParagraph"/>
      </w:pPr>
      <w:r>
        <w:t xml:space="preserve">The TNC wish to express gratitude to the following individuals and organizations for their invaluable contributions to this assessment:</w:t>
      </w:r>
    </w:p>
    <w:p>
      <w:pPr>
        <w:numPr>
          <w:ilvl w:val="0"/>
          <w:numId w:val="1001"/>
        </w:numPr>
      </w:pPr>
      <w:r>
        <w:rPr>
          <w:b/>
          <w:bCs/>
        </w:rPr>
        <w:t xml:space="preserve">Mtwara Seascape Team:</w:t>
      </w:r>
      <w:r>
        <w:t xml:space="preserve"> </w:t>
      </w:r>
      <w:r>
        <w:t xml:space="preserve">Special thanks to the Mnazi Bay-Ruvuma Estuary Marine Park (MBREMP) leadership and technical staff, including Dr. Nedfredy Ngowo (In-charge), Davis Urio, Mussa Hamis, Amos Singo, and Mustapha Issa for their logistical support and ecological expertise. We also acknowledge the technical contributions of Masumbuko Semba (TNC), Pagu Julius (WCS), and The Nature Conservancy (TNC) team members Emmanuel Mpina, Edward Senkondo, and Glory Chagama.</w:t>
      </w:r>
    </w:p>
    <w:p>
      <w:pPr>
        <w:numPr>
          <w:ilvl w:val="0"/>
          <w:numId w:val="1001"/>
        </w:numPr>
      </w:pPr>
      <w:r>
        <w:rPr>
          <w:b/>
          <w:bCs/>
        </w:rPr>
        <w:t xml:space="preserve">North Unguja Seascape Team:</w:t>
      </w:r>
      <w:r>
        <w:t xml:space="preserve"> </w:t>
      </w:r>
      <w:r>
        <w:t xml:space="preserve">We are grateful for the expertise provided by Yassir Ali Haji (DMC Zanzibar), Hija Khamis Uled (And Beyond Mnemba), and Edward Paul (IMS). Significant technical support was also provided by Catherine Nduati (KEMFRI) and TNC staff members Joan Kawaka and John Komakoma.</w:t>
      </w:r>
    </w:p>
    <w:p>
      <w:pPr>
        <w:numPr>
          <w:ilvl w:val="0"/>
          <w:numId w:val="1001"/>
        </w:numPr>
      </w:pPr>
      <w:r>
        <w:rPr>
          <w:b/>
          <w:bCs/>
        </w:rPr>
        <w:t xml:space="preserve">Local Government &amp; Authorities:</w:t>
      </w:r>
      <w:r>
        <w:t xml:space="preserve"> </w:t>
      </w:r>
      <w:r>
        <w:t xml:space="preserve">We thank Habiba (Fisheries Officer, Mtwara DC) and the District Administrative Secretary (DAS) office for their guidance on the strategic alignment of marine assets with the blue economy.</w:t>
      </w:r>
    </w:p>
    <w:p>
      <w:pPr>
        <w:numPr>
          <w:ilvl w:val="0"/>
          <w:numId w:val="1001"/>
        </w:numPr>
      </w:pPr>
      <w:r>
        <w:rPr>
          <w:b/>
          <w:bCs/>
        </w:rPr>
        <w:t xml:space="preserve">Community Partners:</w:t>
      </w:r>
      <w:r>
        <w:t xml:space="preserve"> </w:t>
      </w:r>
      <w:r>
        <w:t xml:space="preserve">Our sincere appreciation goes to the residents of Msangamkuu, Rivula, Msimbati, Mngoji, Mnazi, Mgao, and Nalingu. Their local knowledge and dedication to the</w:t>
      </w:r>
      <w:r>
        <w:t xml:space="preserve"> </w:t>
      </w:r>
      <w:r>
        <w:rPr>
          <w:i/>
          <w:iCs/>
        </w:rPr>
        <w:t xml:space="preserve">Bahari Yetu</w:t>
      </w:r>
      <w:r>
        <w:t xml:space="preserve"> </w:t>
      </w:r>
      <w:r>
        <w:t xml:space="preserve">project are fundamental to the success of these conservation initiatives.</w:t>
      </w:r>
    </w:p>
    <w:p>
      <w:pPr>
        <w:pStyle w:val="FirstParagraph"/>
      </w:pPr>
      <w:r>
        <w:t xml:space="preserve"> </w:t>
      </w:r>
      <w:r>
        <w:t xml:space="preserve"> </w:t>
      </w:r>
      <w:r>
        <w:t xml:space="preserve"> </w:t>
      </w:r>
      <w:r>
        <w:t xml:space="preserve"> </w:t>
      </w:r>
      <w:r>
        <w:t xml:space="preserve"> </w:t>
      </w:r>
    </w:p>
    <w:bookmarkEnd w:id="21"/>
    <w:bookmarkStart w:id="22" w:name="glossary-of-terms"/>
    <w:p>
      <w:pPr>
        <w:pStyle w:val="Heading1"/>
      </w:pPr>
      <w:r>
        <w:t xml:space="preserve">Glossary of Terms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Acanthaster planci</w:t>
            </w:r>
          </w:p>
        </w:tc>
        <w:tc>
          <w:tcPr/>
          <w:p>
            <w:pPr>
              <w:pStyle w:val="Compact"/>
            </w:pPr>
            <w:r>
              <w:t xml:space="preserve">Crown-of-Thorns Starfish (COTs) — a corallivorous sea star known for population outbreaks that can devastate coral cover</w:t>
            </w:r>
          </w:p>
        </w:tc>
      </w:tr>
      <w:tr>
        <w:tc>
          <w:tcPr/>
          <w:p>
            <w:pPr>
              <w:pStyle w:val="Compact"/>
            </w:pPr>
            <w:r>
              <w:rPr>
                <w:b/>
                <w:bCs/>
              </w:rPr>
              <w:t xml:space="preserve">Biomass</w:t>
            </w:r>
          </w:p>
        </w:tc>
        <w:tc>
          <w:tcPr/>
          <w:p>
            <w:pPr>
              <w:pStyle w:val="Compact"/>
            </w:pPr>
            <w:r>
              <w:t xml:space="preserve">The total mass of organisms (typically fish) in a given area, used as a proxy for ecosystem productivity</w:t>
            </w:r>
          </w:p>
        </w:tc>
      </w:tr>
      <w:tr>
        <w:tc>
          <w:tcPr/>
          <w:p>
            <w:pPr>
              <w:pStyle w:val="Compact"/>
            </w:pPr>
            <w:r>
              <w:rPr>
                <w:b/>
                <w:bCs/>
              </w:rPr>
              <w:t xml:space="preserve">CCA</w:t>
            </w:r>
          </w:p>
        </w:tc>
        <w:tc>
          <w:tcPr/>
          <w:p>
            <w:pPr>
              <w:pStyle w:val="Compact"/>
            </w:pPr>
            <w:r>
              <w:t xml:space="preserve">Crustose Coralline Algae — calcified red algae that facilitate coral larval settlement</w:t>
            </w:r>
          </w:p>
        </w:tc>
      </w:tr>
      <w:tr>
        <w:tc>
          <w:tcPr/>
          <w:p>
            <w:pPr>
              <w:pStyle w:val="Compact"/>
            </w:pPr>
            <w:r>
              <w:rPr>
                <w:b/>
                <w:bCs/>
              </w:rPr>
              <w:t xml:space="preserve">Coral Gardening</w:t>
            </w:r>
          </w:p>
        </w:tc>
        <w:tc>
          <w:tcPr/>
          <w:p>
            <w:pPr>
              <w:pStyle w:val="Compact"/>
            </w:pPr>
            <w:r>
              <w:t xml:space="preserve">A two-step restoration method involving a nursery phase followed by transplantation to degraded reefs</w:t>
            </w:r>
          </w:p>
        </w:tc>
      </w:tr>
      <w:tr>
        <w:tc>
          <w:tcPr/>
          <w:p>
            <w:pPr>
              <w:pStyle w:val="Compact"/>
            </w:pPr>
            <w:r>
              <w:rPr>
                <w:b/>
                <w:bCs/>
              </w:rPr>
              <w:t xml:space="preserve">GCRMN</w:t>
            </w:r>
          </w:p>
        </w:tc>
        <w:tc>
          <w:tcPr/>
          <w:p>
            <w:pPr>
              <w:pStyle w:val="Compact"/>
            </w:pPr>
            <w:r>
              <w:t xml:space="preserve">Global Coral Reef Monitoring Network — the international standard for reef assessment protocols</w:t>
            </w:r>
          </w:p>
        </w:tc>
      </w:tr>
      <w:tr>
        <w:tc>
          <w:tcPr/>
          <w:p>
            <w:pPr>
              <w:pStyle w:val="Compact"/>
            </w:pPr>
            <w:r>
              <w:rPr>
                <w:b/>
                <w:bCs/>
              </w:rPr>
              <w:t xml:space="preserve">MMA</w:t>
            </w:r>
          </w:p>
        </w:tc>
        <w:tc>
          <w:tcPr/>
          <w:p>
            <w:pPr>
              <w:pStyle w:val="Compact"/>
            </w:pPr>
            <w:r>
              <w:t xml:space="preserve">Marine Managed Area — a broadly defined zone with regulated marine resource use</w:t>
            </w:r>
          </w:p>
        </w:tc>
      </w:tr>
      <w:tr>
        <w:tc>
          <w:tcPr/>
          <w:p>
            <w:pPr>
              <w:pStyle w:val="Compact"/>
            </w:pPr>
            <w:r>
              <w:rPr>
                <w:b/>
                <w:bCs/>
              </w:rPr>
              <w:t xml:space="preserve">MPA</w:t>
            </w:r>
          </w:p>
        </w:tc>
        <w:tc>
          <w:tcPr/>
          <w:p>
            <w:pPr>
              <w:pStyle w:val="Compact"/>
            </w:pPr>
            <w:r>
              <w:t xml:space="preserve">Marine Protected Area — a zone with regulated or prohibited extractive use</w:t>
            </w:r>
          </w:p>
        </w:tc>
      </w:tr>
      <w:tr>
        <w:tc>
          <w:tcPr/>
          <w:p>
            <w:pPr>
              <w:pStyle w:val="Compact"/>
            </w:pPr>
            <w:r>
              <w:rPr>
                <w:b/>
                <w:bCs/>
              </w:rPr>
              <w:t xml:space="preserve">PIT</w:t>
            </w:r>
          </w:p>
        </w:tc>
        <w:tc>
          <w:tcPr/>
          <w:p>
            <w:pPr>
              <w:pStyle w:val="Compact"/>
            </w:pPr>
            <w:r>
              <w:t xml:space="preserve">Point-Intercept Transect — a standardised benthic survey methodology</w:t>
            </w:r>
          </w:p>
        </w:tc>
      </w:tr>
      <w:tr>
        <w:tc>
          <w:tcPr/>
          <w:p>
            <w:pPr>
              <w:pStyle w:val="Compact"/>
            </w:pPr>
            <w:r>
              <w:rPr>
                <w:b/>
                <w:bCs/>
              </w:rPr>
              <w:t xml:space="preserve">UVC</w:t>
            </w:r>
          </w:p>
        </w:tc>
        <w:tc>
          <w:tcPr/>
          <w:p>
            <w:pPr>
              <w:pStyle w:val="Compact"/>
            </w:pPr>
            <w:r>
              <w:t xml:space="preserve">Underwater Visual Census — a standardised fish survey methodology</w:t>
            </w:r>
          </w:p>
        </w:tc>
      </w:tr>
      <w:tr>
        <w:tc>
          <w:tcPr/>
          <w:p>
            <w:pPr>
              <w:pStyle w:val="Compact"/>
            </w:pPr>
            <w:r>
              <w:rPr>
                <w:b/>
                <w:bCs/>
              </w:rPr>
              <w:t xml:space="preserve">WIO</w:t>
            </w:r>
          </w:p>
        </w:tc>
        <w:tc>
          <w:tcPr/>
          <w:p>
            <w:pPr>
              <w:pStyle w:val="Compact"/>
            </w:pPr>
            <w:r>
              <w:t xml:space="preserve">Western Indian Ocean — the biogeographic region encompassing Tanzania’s marine environment</w:t>
            </w:r>
          </w:p>
        </w:tc>
      </w:tr>
      <w:tr>
        <w:tc>
          <w:tcPr/>
          <w:p>
            <w:pPr>
              <w:pStyle w:val="Compact"/>
            </w:pPr>
            <w:r>
              <w:rPr>
                <w:b/>
                <w:bCs/>
              </w:rPr>
              <w:t xml:space="preserve">Phase shift</w:t>
            </w:r>
          </w:p>
        </w:tc>
        <w:tc>
          <w:tcPr/>
          <w:p>
            <w:pPr>
              <w:pStyle w:val="Compact"/>
            </w:pPr>
            <w:r>
              <w:t xml:space="preserve">Ecological transition from a coral-dominated to an algae-dominated reef state</w:t>
            </w:r>
          </w:p>
        </w:tc>
      </w:tr>
      <w:tr>
        <w:tc>
          <w:tcPr/>
          <w:p>
            <w:pPr>
              <w:pStyle w:val="Compact"/>
            </w:pPr>
            <w:r>
              <w:rPr>
                <w:b/>
                <w:bCs/>
              </w:rPr>
              <w:t xml:space="preserve">Recruit</w:t>
            </w:r>
          </w:p>
        </w:tc>
        <w:tc>
          <w:tcPr/>
          <w:p>
            <w:pPr>
              <w:pStyle w:val="Compact"/>
            </w:pPr>
            <w:r>
              <w:t xml:space="preserve">Juvenile coral colony with a maximum diameter of 5 cm or less</w:t>
            </w:r>
          </w:p>
        </w:tc>
      </w:tr>
      <w:tr>
        <w:tc>
          <w:tcPr/>
          <w:p>
            <w:pPr>
              <w:pStyle w:val="Compact"/>
            </w:pPr>
            <w:r>
              <w:rPr>
                <w:b/>
                <w:bCs/>
              </w:rPr>
              <w:t xml:space="preserve">Trophic group</w:t>
            </w:r>
          </w:p>
        </w:tc>
        <w:tc>
          <w:tcPr/>
          <w:p>
            <w:pPr>
              <w:pStyle w:val="Compact"/>
            </w:pPr>
            <w:r>
              <w:t xml:space="preserve">Functional feeding category used to classify fish assemblages</w:t>
            </w:r>
          </w:p>
        </w:tc>
      </w:tr>
      <w:tr>
        <w:tc>
          <w:tcPr/>
          <w:p>
            <w:pPr>
              <w:pStyle w:val="Compact"/>
            </w:pPr>
            <w:r>
              <w:rPr>
                <w:b/>
                <w:bCs/>
              </w:rPr>
              <w:t xml:space="preserve">Allometric</w:t>
            </w:r>
          </w:p>
        </w:tc>
        <w:tc>
          <w:tcPr/>
          <w:p>
            <w:pPr>
              <w:pStyle w:val="Compact"/>
            </w:pPr>
            <w:r>
              <w:t xml:space="preserve">Relating to the non-proportional growth relationship used in biomass estimation</w:t>
            </w:r>
          </w:p>
        </w:tc>
      </w:tr>
    </w:tbl>
    <w:p>
      <w:pPr>
        <w:pStyle w:val="BodyText"/>
      </w:pPr>
      <w:r>
        <w:t xml:space="preserve"> </w:t>
      </w:r>
    </w:p>
    <w:p>
      <w:r>
        <w:br w:type="page"/>
      </w:r>
    </w:p>
    <w:bookmarkEnd w:id="22"/>
    <w:bookmarkStart w:id="23" w:name="sec-intro"/>
    <w:p>
      <w:pPr>
        <w:pStyle w:val="Heading1"/>
      </w:pPr>
      <w:r>
        <w:t xml:space="preserve">1. Introduction</w:t>
      </w:r>
    </w:p>
    <w:p>
      <w:pPr>
        <w:pStyle w:val="FirstParagraph"/>
      </w:pPr>
      <w:r>
        <w:t xml:space="preserve"> </w:t>
      </w:r>
    </w:p>
    <w:p>
      <w:pPr>
        <w:pStyle w:val="BodyText"/>
      </w:pPr>
      <w:r>
        <w:t xml:space="preserve">Coral reefs are among the most productive and biodiverse ecosystems on Earth, supporting approximately one quarter of all marine species and providing critical ecosystem services — including food security, coastal protection, and tourism revenue — to hundreds of millions of people globally</w:t>
      </w:r>
      <w:r>
        <w:t xml:space="preserve"> </w:t>
      </w:r>
      <w:r>
        <w:t xml:space="preserve">(</w:t>
      </w:r>
      <w:hyperlink w:anchor="ref-wilkinson2008status">
        <w:r>
          <w:rPr>
            <w:rStyle w:val="Hyperlink"/>
          </w:rPr>
          <w:t xml:space="preserve">Wilkinson 2008</w:t>
        </w:r>
      </w:hyperlink>
      <w:r>
        <w:t xml:space="preserve">;</w:t>
      </w:r>
      <w:r>
        <w:t xml:space="preserve"> </w:t>
      </w:r>
      <w:hyperlink w:anchor="ref-burke2011reefs">
        <w:r>
          <w:rPr>
            <w:rStyle w:val="Hyperlink"/>
          </w:rPr>
          <w:t xml:space="preserve">Burke et al. 2011</w:t>
        </w:r>
      </w:hyperlink>
      <w:r>
        <w:t xml:space="preserve">)</w:t>
      </w:r>
      <w:r>
        <w:t xml:space="preserve">. In the Western Indian Ocean (WIO), coral reefs are particularly important, sustaining the livelihoods of coastal communities that depend heavily on artisanal fisheries and reef-based tourism</w:t>
      </w:r>
      <w:r>
        <w:t xml:space="preserve"> </w:t>
      </w:r>
      <w:r>
        <w:t xml:space="preserve">(</w:t>
      </w:r>
      <w:hyperlink w:anchor="ref-obura2017reef">
        <w:r>
          <w:rPr>
            <w:rStyle w:val="Hyperlink"/>
          </w:rPr>
          <w:t xml:space="preserve">Obura et al. 2017</w:t>
        </w:r>
      </w:hyperlink>
      <w:r>
        <w:t xml:space="preserve">)</w:t>
      </w:r>
      <w:r>
        <w:t xml:space="preserve">.</w:t>
      </w:r>
    </w:p>
    <w:p>
      <w:pPr>
        <w:pStyle w:val="BodyText"/>
      </w:pPr>
      <w:r>
        <w:t xml:space="preserve">Tanzania’s coral reefs span the mainland coast and the islands of Zanzibar (Unguja and Pemba), forming part of the broader East African Coral Reef system — one of the world’s most significant reef complexes</w:t>
      </w:r>
      <w:r>
        <w:t xml:space="preserve"> </w:t>
      </w:r>
      <w:r>
        <w:t xml:space="preserve">(</w:t>
      </w:r>
      <w:hyperlink w:anchor="ref-mcclanahan2014management">
        <w:r>
          <w:rPr>
            <w:rStyle w:val="Hyperlink"/>
          </w:rPr>
          <w:t xml:space="preserve">McClanahan, Cinner, and Abunge 2014</w:t>
        </w:r>
      </w:hyperlink>
      <w:r>
        <w:t xml:space="preserve">)</w:t>
      </w:r>
      <w:r>
        <w:t xml:space="preserve">. Despite their ecological and socioeconomic value, Tanzanian reefs have experienced considerable decline over recent decades, driven by a combination of anthropogenic stressors including destructive fishing practices, coastal eutrophication, sedimentation, and the compounding effects of climate-driven coral bleaching events</w:t>
      </w:r>
      <w:r>
        <w:t xml:space="preserve"> </w:t>
      </w:r>
      <w:r>
        <w:t xml:space="preserve">(</w:t>
      </w:r>
      <w:hyperlink w:anchor="ref-obura2016coral">
        <w:r>
          <w:rPr>
            <w:rStyle w:val="Hyperlink"/>
          </w:rPr>
          <w:t xml:space="preserve">Obura et al. 2016</w:t>
        </w:r>
      </w:hyperlink>
      <w:r>
        <w:t xml:space="preserve">;</w:t>
      </w:r>
      <w:r>
        <w:t xml:space="preserve"> </w:t>
      </w:r>
      <w:hyperlink w:anchor="ref-mcclanahan2020global">
        <w:r>
          <w:rPr>
            <w:rStyle w:val="Hyperlink"/>
          </w:rPr>
          <w:t xml:space="preserve">McClanahan et al. 2020</w:t>
        </w:r>
      </w:hyperlink>
      <w:r>
        <w:t xml:space="preserve">)</w:t>
      </w:r>
      <w:r>
        <w:t xml:space="preserve">.</w:t>
      </w:r>
    </w:p>
    <w:p>
      <w:pPr>
        <w:pStyle w:val="BodyText"/>
      </w:pPr>
    </w:p>
    <w:p>
      <w:pPr>
        <w:pStyle w:val="BodyText"/>
      </w:pPr>
      <w:r>
        <w:t xml:space="preserve">Marine Managed Areas (MMAs) have been established across Tanzania as a principal governance tool for coral reef conservation, encompassing both no-take zones and partially restricted-use zones</w:t>
      </w:r>
      <w:r>
        <w:t xml:space="preserve"> </w:t>
      </w:r>
      <w:r>
        <w:t xml:space="preserve">(</w:t>
      </w:r>
      <w:hyperlink w:anchor="ref-rocliffe2014towards">
        <w:r>
          <w:rPr>
            <w:rStyle w:val="Hyperlink"/>
          </w:rPr>
          <w:t xml:space="preserve">Rocliffe et al. 2014</w:t>
        </w:r>
      </w:hyperlink>
      <w:r>
        <w:t xml:space="preserve">)</w:t>
      </w:r>
      <w:r>
        <w:t xml:space="preserve">. However, the ecological effectiveness of these MMAs varies considerably depending on management capacity, community engagement, and enforcement</w:t>
      </w:r>
      <w:r>
        <w:t xml:space="preserve"> </w:t>
      </w:r>
      <w:r>
        <w:t xml:space="preserve">(</w:t>
      </w:r>
      <w:hyperlink w:anchor="ref-cinner2016bright">
        <w:r>
          <w:rPr>
            <w:rStyle w:val="Hyperlink"/>
          </w:rPr>
          <w:t xml:space="preserve">Cinner et al. 2016</w:t>
        </w:r>
      </w:hyperlink>
      <w:r>
        <w:t xml:space="preserve">)</w:t>
      </w:r>
      <w:r>
        <w:t xml:space="preserve">. Comparative assessment of reef condition within and outside MMA boundaries therefore provides critical insight into management effectiveness and guides targeted restoration planning.</w:t>
      </w:r>
    </w:p>
    <w:p>
      <w:pPr>
        <w:pStyle w:val="BodyText"/>
      </w:pPr>
    </w:p>
    <w:p>
      <w:pPr>
        <w:pStyle w:val="BodyText"/>
      </w:pPr>
      <w:r>
        <w:t xml:space="preserve">This report presents findings from a systematic multi-metric reef health assessment conducted at seven sites across two regions:</w:t>
      </w:r>
      <w:r>
        <w:t xml:space="preserve"> </w:t>
      </w:r>
      <w:r>
        <w:rPr>
          <w:b/>
          <w:bCs/>
        </w:rPr>
        <w:t xml:space="preserve">Unguja North</w:t>
      </w:r>
      <w:r>
        <w:t xml:space="preserve"> </w:t>
      </w:r>
      <w:r>
        <w:t xml:space="preserve">(Chama Kangu, Mwamba Mrefu, Mayale, and Chumani) and</w:t>
      </w:r>
      <w:r>
        <w:t xml:space="preserve"> </w:t>
      </w:r>
      <w:r>
        <w:rPr>
          <w:b/>
          <w:bCs/>
        </w:rPr>
        <w:t xml:space="preserve">Mtwara</w:t>
      </w:r>
      <w:r>
        <w:t xml:space="preserve"> </w:t>
      </w:r>
      <w:r>
        <w:t xml:space="preserve">(Chamba Cha Kati, Nusura, and Viulu). The assessment evaluated four ecological metrics — benthic substrate composition, fish density, coral recruit density, and invertebrate assemblages — to: (i) characterise reef condition at each site; (ii) compare condition between MMA and non-MMA sites; and (iii) identify priority areas for active restoration intervention under the</w:t>
      </w:r>
      <w:r>
        <w:t xml:space="preserve"> </w:t>
      </w:r>
      <w:r>
        <w:rPr>
          <w:i/>
          <w:iCs/>
        </w:rPr>
        <w:t xml:space="preserve">Bahari Yetu</w:t>
      </w:r>
      <w:r>
        <w:t xml:space="preserve"> </w:t>
      </w:r>
      <w:r>
        <w:t xml:space="preserve">project.</w:t>
      </w:r>
    </w:p>
    <w:bookmarkEnd w:id="23"/>
    <w:bookmarkStart w:id="49" w:name="sec-methods"/>
    <w:p>
      <w:pPr>
        <w:pStyle w:val="Heading1"/>
      </w:pPr>
      <w:r>
        <w:t xml:space="preserve">2. Methodology</w:t>
      </w:r>
    </w:p>
    <w:p>
      <w:pPr>
        <w:pStyle w:val="FirstParagraph"/>
      </w:pPr>
    </w:p>
    <w:bookmarkStart w:id="36" w:name="sec-studyarea"/>
    <w:p>
      <w:pPr>
        <w:pStyle w:val="Heading2"/>
      </w:pPr>
      <w:r>
        <w:t xml:space="preserve">2.1 Study Area</w:t>
      </w:r>
    </w:p>
    <w:p>
      <w:pPr>
        <w:pStyle w:val="FirstParagraph"/>
      </w:pPr>
      <w:r>
        <w:t xml:space="preserve"> </w:t>
      </w:r>
    </w:p>
    <w:p>
      <w:pPr>
        <w:pStyle w:val="BodyText"/>
      </w:pPr>
      <w:r>
        <w:t xml:space="preserve">The ecological assessment was conducted across seven distinct coral reef sites distributed between the northern coast of Unguja Island and the southern mainland region of Mtwara. These sites were strategically selected to represent a gradient of management regimes, including established Marine Managed Areas (MMAs) and open-access reefs. Note that while Mgao was initially selected, it was not surveyed due to unfavorable tidal conditions during the mission. The geographic distribution and spatial orientation of all study sites are illustrated in</w:t>
      </w:r>
      <w:r>
        <w:t xml:space="preserve"> </w:t>
      </w:r>
      <w:hyperlink w:anchor="fig-map-unguja-north">
        <w:r>
          <w:rPr>
            <w:rStyle w:val="Hyperlink"/>
          </w:rPr>
          <w:t xml:space="preserve">Figure 1</w:t>
        </w:r>
      </w:hyperlink>
      <w:r>
        <w:t xml:space="preserve"> </w:t>
      </w:r>
      <w:r>
        <w:t xml:space="preserve">and</w:t>
      </w:r>
      <w:r>
        <w:t xml:space="preserve"> </w:t>
      </w:r>
      <w:hyperlink w:anchor="fig-map-mbremp">
        <w:r>
          <w:rPr>
            <w:rStyle w:val="Hyperlink"/>
          </w:rPr>
          <w:t xml:space="preserve">Figure 2</w:t>
        </w:r>
      </w:hyperlink>
      <w:r>
        <w:t xml:space="preserve">, respectively.</w:t>
      </w:r>
    </w:p>
    <w:tbl>
      <w:tblPr>
        <w:tblStyle w:val="Table"/>
        <w:tblW w:type="pct" w:w="5000"/>
        <w:tblLayout w:type="fixed"/>
        <w:tblLook w:firstRow="0" w:lastRow="0" w:firstColumn="0" w:lastColumn="0" w:noHBand="0" w:noVBand="0" w:val="0000"/>
      </w:tblPr>
      <w:tblGrid>
        <w:gridCol w:w="7920"/>
      </w:tblGrid>
      <w:tr>
        <w:tc>
          <w:tcPr/>
          <w:bookmarkStart w:id="27" w:name="fig-map-unguja-north"/>
          <w:p>
            <w:pPr>
              <w:pStyle w:val="Compact"/>
              <w:jc w:val="center"/>
            </w:pPr>
            <w:r>
              <w:drawing>
                <wp:inline>
                  <wp:extent cx="5049078" cy="4241715"/>
                  <wp:effectExtent b="0" l="0" r="0" t="0"/>
                  <wp:docPr descr="" title="" id="25" name="Picture"/>
                  <a:graphic>
                    <a:graphicData uri="http://schemas.openxmlformats.org/drawingml/2006/picture">
                      <pic:pic>
                        <pic:nvPicPr>
                          <pic:cNvPr descr="map_unguja_north.png" id="26" name="Picture"/>
                          <pic:cNvPicPr>
                            <a:picLocks noChangeArrowheads="1" noChangeAspect="1"/>
                          </pic:cNvPicPr>
                        </pic:nvPicPr>
                        <pic:blipFill>
                          <a:blip r:embed="rId24"/>
                          <a:stretch>
                            <a:fillRect/>
                          </a:stretch>
                        </pic:blipFill>
                        <pic:spPr bwMode="auto">
                          <a:xfrm>
                            <a:off x="0" y="0"/>
                            <a:ext cx="5049078" cy="424171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Distribution of survey site in Unguja North with spatial extent of the Marine Conservation Areas and key benthic habitats zonation.</w:t>
            </w:r>
          </w:p>
          <w:bookmarkEnd w:id="27"/>
        </w:tc>
      </w:tr>
    </w:tbl>
    <w:bookmarkStart w:id="29" w:name="unguja-north"/>
    <w:p>
      <w:pPr>
        <w:pStyle w:val="Heading3"/>
      </w:pPr>
      <w:r>
        <w:t xml:space="preserve">2.1.1 Unguja North</w:t>
      </w:r>
    </w:p>
    <w:p>
      <w:pPr>
        <w:pStyle w:val="FirstParagraph"/>
      </w:pPr>
      <w:r>
        <w:t xml:space="preserve">Unguja North encompasses the northern coastline of Unguja Island, Zanzibar, characterised by fringing and patch reef systems with relatively shallow reef flats (</w:t>
      </w:r>
      <w:hyperlink w:anchor="fig-map-unguja-north">
        <w:r>
          <w:rPr>
            <w:rStyle w:val="Hyperlink"/>
          </w:rPr>
          <w:t xml:space="preserve">Figure 1</w:t>
        </w:r>
      </w:hyperlink>
      <w:r>
        <w:t xml:space="preserve">). This area is subject to substantial fishing pressure from surrounding communities. Of the four sites assessed, Fukuchani and Uroa fall within designated MMA boundaries, while Jongowe and Kendwa are located outside formal management areas (see</w:t>
      </w:r>
      <w:r>
        <w:t xml:space="preserve"> </w:t>
      </w:r>
      <w:hyperlink w:anchor="tbl-unguja-geo">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tbl-unguja-geo"/>
          <w:p>
            <w:pPr>
              <w:jc w:val="center"/>
            </w:pPr>
            <w:pPr>
              <w:jc w:val="start"/>
              <w:spacing w:before="200"/>
              <w:pStyle w:val="ImageCaption"/>
            </w:pPr>
            <w:r>
              <w:t xml:space="preserve">Table 1: Geographic coordinates and management status of coral reef survey sites in Unguja North.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Coordinates</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Location</w:t>
                  </w:r>
                </w:p>
              </w:tc>
              <w:tc>
                <w:tcPr>
                  <w:tcBorders>
                    <w:bottom w:val="single" w:sz="16" w:space="0" w:color="D3D3D3"/>
                  </w:tcBorders>
                </w:tcPr>
                <w:p>
                  <w:pPr>
                    <w:spacing w:before="0" w:after="60"/>
                    <w:keepNext/>
                    <w:jc w:val="start"/>
                  </w:pPr>
                  <w:r>
                    <w:rPr>
                      <w:rFonts w:ascii="Calibri" w:hAnsi="Calibri"/>
                      <w:sz w:val="20"/>
                    </w:rPr>
                    <w:t xml:space="default">Reef</w:t>
                  </w:r>
                </w:p>
              </w:tc>
              <w:tc>
                <w:tcPr>
                  <w:tcBorders>
                    <w:bottom w:val="single" w:sz="16" w:space="0" w:color="D3D3D3"/>
                  </w:tcBorders>
                </w:tcPr>
                <w:p>
                  <w:pPr>
                    <w:spacing w:before="0" w:after="60"/>
                    <w:keepNext/>
                    <w:jc w:val="center"/>
                  </w:pPr>
                  <w:r>
                    <w:rPr>
                      <w:rFonts w:ascii="Calibri" w:hAnsi="Calibri"/>
                      <w:sz w:val="20"/>
                    </w:rPr>
                    <w:t xml:space="default">Management</w:t>
                  </w:r>
                </w:p>
              </w:tc>
              <w:tc>
                <w:tcPr>
                  <w:tcBorders>
                    <w:bottom w:val="single" w:sz="16" w:space="0" w:color="D3D3D3"/>
                  </w:tcBorders>
                </w:tcPr>
                <w:p>
                  <w:pPr>
                    <w:spacing w:before="0" w:after="60"/>
                    <w:keepNext/>
                    <w:jc w:val="center"/>
                  </w:pPr>
                  <w:r>
                    <w:rPr>
                      <w:rFonts w:ascii="Calibri" w:hAnsi="Calibri"/>
                      <w:sz w:val="20"/>
                    </w:rPr>
                    <w:t xml:space="default">Exposure</w:t>
                  </w:r>
                </w:p>
              </w:tc>
              <w:tc>
                <w:tcPr>
                  <w:tcBorders>
                    <w:bottom w:val="single" w:sz="16" w:space="0" w:color="D3D3D3"/>
                  </w:tcBorders>
                </w:tcPr>
                <w:p>
                  <w:pPr>
                    <w:spacing w:before="0" w:after="60"/>
                    <w:keepNext/>
                    <w:jc w:val="center"/>
                  </w:pPr>
                  <w:r>
                    <w:rPr>
                      <w:rFonts w:ascii="Calibri" w:hAnsi="Calibri"/>
                      <w:sz w:val="20"/>
                    </w:rPr>
                    <w:t xml:space="default">Latitude</w:t>
                  </w:r>
                </w:p>
              </w:tc>
              <w:tc>
                <w:tcPr>
                  <w:tcBorders>
                    <w:bottom w:val="single" w:sz="16" w:space="0" w:color="D3D3D3"/>
                    <w:end w:val="single" w:space="0" w:color="D3D3D3"/>
                  </w:tcBorders>
                </w:tcPr>
                <w:p>
                  <w:pPr>
                    <w:spacing w:before="0" w:after="60"/>
                    <w:keepNext/>
                    <w:jc w:val="center"/>
                  </w:pPr>
                  <w:r>
                    <w:rPr>
                      <w:rFonts w:ascii="Calibri" w:hAnsi="Calibri"/>
                      <w:sz w:val="20"/>
                    </w:rPr>
                    <w:t xml:space="default">Longitude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Kendwa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Chumani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-5.75634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39.27444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Fukuchani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Mwamba Mrefu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-5.82883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39.28063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Jongowe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Mayale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-5.87126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39.20969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Uroa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Chama Kangu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-6.09220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39.44084</w:t>
                  </w:r>
                </w:p>
              </w:tc>
            </w:tr>
          </w:tbl>
          <w:bookmarkEnd w:id="28"/>
        </w:tc>
      </w:tr>
    </w:tbl>
    <w:bookmarkEnd w:id="29"/>
    <w:bookmarkStart w:id="35" w:name="mtwara"/>
    <w:p>
      <w:pPr>
        <w:pStyle w:val="Heading3"/>
      </w:pPr>
      <w:r>
        <w:t xml:space="preserve">2.1.2 Mtwara</w:t>
      </w:r>
    </w:p>
    <w:p>
      <w:pPr>
        <w:pStyle w:val="FirstParagraph"/>
      </w:pPr>
      <w:r>
        <w:t xml:space="preserve">Mtwara is located in the southernmost coastal region of Tanzania (</w:t>
      </w:r>
      <w:hyperlink w:anchor="fig-map-mbremp">
        <w:r>
          <w:rPr>
            <w:rStyle w:val="Hyperlink"/>
          </w:rPr>
          <w:t xml:space="preserve">Figure 2</w:t>
        </w:r>
      </w:hyperlink>
      <w:r>
        <w:t xml:space="preserve">), adjacent to the Mozambique border. The Mtwara coastline supports a diverse reef mosaic influenced by the Ruvuma River discharge and seasonal monsoon dynamics. Mnazi Bay — one of Tanzania’s oldest and best-studied marine protected areas — represents the primary MMA site for this region, while Msangamkuu is situated outside formal management structures (</w:t>
      </w:r>
      <w:hyperlink w:anchor="tbl-mtwara-geo">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tbl-mtwara-geo"/>
          <w:p>
            <w:pPr>
              <w:jc w:val="center"/>
            </w:pPr>
            <w:pPr>
              <w:jc w:val="start"/>
              <w:spacing w:before="200"/>
              <w:pStyle w:val="ImageCaption"/>
            </w:pPr>
            <w:r>
              <w:t xml:space="preserve">Table 2: Geographic coordinates and management status of coral reef survey sites in Mtwara region.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Coordinates</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Location</w:t>
                  </w:r>
                </w:p>
              </w:tc>
              <w:tc>
                <w:tcPr>
                  <w:tcBorders>
                    <w:bottom w:val="single" w:sz="16" w:space="0" w:color="D3D3D3"/>
                  </w:tcBorders>
                </w:tcPr>
                <w:p>
                  <w:pPr>
                    <w:spacing w:before="0" w:after="60"/>
                    <w:keepNext/>
                    <w:jc w:val="start"/>
                  </w:pPr>
                  <w:r>
                    <w:rPr>
                      <w:rFonts w:ascii="Calibri" w:hAnsi="Calibri"/>
                      <w:sz w:val="20"/>
                    </w:rPr>
                    <w:t xml:space="default">Reef</w:t>
                  </w:r>
                </w:p>
              </w:tc>
              <w:tc>
                <w:tcPr>
                  <w:tcBorders>
                    <w:bottom w:val="single" w:sz="16" w:space="0" w:color="D3D3D3"/>
                  </w:tcBorders>
                </w:tcPr>
                <w:p>
                  <w:pPr>
                    <w:spacing w:before="0" w:after="60"/>
                    <w:keepNext/>
                    <w:jc w:val="start"/>
                  </w:pPr>
                  <w:r>
                    <w:rPr>
                      <w:rFonts w:ascii="Calibri" w:hAnsi="Calibri"/>
                      <w:sz w:val="20"/>
                    </w:rPr>
                    <w:t xml:space="default">Management</w:t>
                  </w:r>
                </w:p>
              </w:tc>
              <w:tc>
                <w:tcPr>
                  <w:tcBorders>
                    <w:bottom w:val="single" w:sz="16" w:space="0" w:color="D3D3D3"/>
                  </w:tcBorders>
                </w:tcPr>
                <w:p>
                  <w:pPr>
                    <w:spacing w:before="0" w:after="60"/>
                    <w:keepNext/>
                    <w:jc w:val="start"/>
                  </w:pPr>
                  <w:r>
                    <w:rPr>
                      <w:rFonts w:ascii="Calibri" w:hAnsi="Calibri"/>
                      <w:sz w:val="20"/>
                    </w:rPr>
                    <w:t xml:space="default">Exposure</w:t>
                  </w:r>
                </w:p>
              </w:tc>
              <w:tc>
                <w:tcPr>
                  <w:tcBorders>
                    <w:bottom w:val="single" w:sz="16" w:space="0" w:color="D3D3D3"/>
                  </w:tcBorders>
                </w:tcPr>
                <w:p>
                  <w:pPr>
                    <w:spacing w:before="0" w:after="60"/>
                    <w:keepNext/>
                    <w:jc w:val="center"/>
                  </w:pPr>
                  <w:r>
                    <w:rPr>
                      <w:rFonts w:ascii="Calibri" w:hAnsi="Calibri"/>
                      <w:sz w:val="20"/>
                    </w:rPr>
                    <w:t xml:space="default">Latitude</w:t>
                  </w:r>
                </w:p>
              </w:tc>
              <w:tc>
                <w:tcPr>
                  <w:tcBorders>
                    <w:bottom w:val="single" w:sz="16" w:space="0" w:color="D3D3D3"/>
                    <w:end w:val="single" w:space="0" w:color="D3D3D3"/>
                  </w:tcBorders>
                </w:tcPr>
                <w:p>
                  <w:pPr>
                    <w:spacing w:before="0" w:after="60"/>
                    <w:keepNext/>
                    <w:jc w:val="center"/>
                  </w:pPr>
                  <w:r>
                    <w:rPr>
                      <w:rFonts w:ascii="Calibri" w:hAnsi="Calibri"/>
                      <w:sz w:val="20"/>
                    </w:rPr>
                    <w:t xml:space="default">Longitude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MBREMP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Chamba Cha Kati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Core Zone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Sheltered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-10.31373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40.37449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Msanga Mkuu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Viulu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Open Access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Exposed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-10.19407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40.21902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Msanga Mkuu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Nusura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Open Access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Exposed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-10.22044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40.21319</w:t>
                  </w:r>
                </w:p>
              </w:tc>
            </w:tr>
          </w:tbl>
          <w:bookmarkEnd w:id="30"/>
        </w:tc>
      </w:tr>
    </w:tbl>
    <w:tbl>
      <w:tblPr>
        <w:tblStyle w:val="Table"/>
        <w:tblW w:type="pct" w:w="5000"/>
        <w:tblLayout w:type="fixed"/>
        <w:tblLook w:firstRow="0" w:lastRow="0" w:firstColumn="0" w:lastColumn="0" w:noHBand="0" w:noVBand="0" w:val="0000"/>
      </w:tblPr>
      <w:tblGrid>
        <w:gridCol w:w="7920"/>
      </w:tblGrid>
      <w:tr>
        <w:tc>
          <w:tcPr/>
          <w:bookmarkStart w:id="34" w:name="fig-map-mbremp"/>
          <w:p>
            <w:pPr>
              <w:pStyle w:val="Compact"/>
              <w:jc w:val="center"/>
            </w:pPr>
            <w:r>
              <w:drawing>
                <wp:inline>
                  <wp:extent cx="5334000" cy="3807646"/>
                  <wp:effectExtent b="0" l="0" r="0" t="0"/>
                  <wp:docPr descr="" title="" id="32" name="Picture"/>
                  <a:graphic>
                    <a:graphicData uri="http://schemas.openxmlformats.org/drawingml/2006/picture">
                      <pic:pic>
                        <pic:nvPicPr>
                          <pic:cNvPr descr="map_mbremp.png" id="33" name="Picture"/>
                          <pic:cNvPicPr>
                            <a:picLocks noChangeArrowheads="1" noChangeAspect="1"/>
                          </pic:cNvPicPr>
                        </pic:nvPicPr>
                        <pic:blipFill>
                          <a:blip r:embed="rId31"/>
                          <a:stretch>
                            <a:fillRect/>
                          </a:stretch>
                        </pic:blipFill>
                        <pic:spPr bwMode="auto">
                          <a:xfrm>
                            <a:off x="0" y="0"/>
                            <a:ext cx="5334000" cy="380764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Distribution of survey site in Mtwara with spatial extent of the Mnazi Bay-Ruvuma Estuary Marine Park (MBREMP) showing the key benthic habitats zonation and proximity to the Ruvuma River mouth.</w:t>
            </w:r>
          </w:p>
          <w:bookmarkEnd w:id="34"/>
        </w:tc>
      </w:tr>
    </w:tbl>
    <w:bookmarkEnd w:id="35"/>
    <w:bookmarkEnd w:id="36"/>
    <w:bookmarkStart w:id="37" w:name="sec-surveydesign"/>
    <w:p>
      <w:pPr>
        <w:pStyle w:val="Heading2"/>
      </w:pPr>
      <w:r>
        <w:t xml:space="preserve">2.2 Survey Design</w:t>
      </w:r>
    </w:p>
    <w:p>
      <w:pPr>
        <w:pStyle w:val="FirstParagraph"/>
      </w:pPr>
    </w:p>
    <w:p>
      <w:pPr>
        <w:pStyle w:val="BodyText"/>
      </w:pPr>
      <w:r>
        <w:t xml:space="preserve">Ecological surveys were conducted between 16–24 March, 2026 following standardised reef health monitoring protocols</w:t>
      </w:r>
      <w:r>
        <w:t xml:space="preserve"> </w:t>
      </w:r>
      <w:r>
        <w:t xml:space="preserve">(</w:t>
      </w:r>
      <w:hyperlink w:anchor="ref-hodgson2006reef">
        <w:r>
          <w:rPr>
            <w:rStyle w:val="Hyperlink"/>
          </w:rPr>
          <w:t xml:space="preserve">Hodgson et al. 2006</w:t>
        </w:r>
      </w:hyperlink>
      <w:r>
        <w:t xml:space="preserve">;</w:t>
      </w:r>
      <w:r>
        <w:t xml:space="preserve"> </w:t>
      </w:r>
      <w:hyperlink w:anchor="ref-wilson2020reef">
        <w:r>
          <w:rPr>
            <w:rStyle w:val="Hyperlink"/>
          </w:rPr>
          <w:t xml:space="preserve">Wilson et al. 2020</w:t>
        </w:r>
      </w:hyperlink>
      <w:r>
        <w:t xml:space="preserve">)</w:t>
      </w:r>
      <w:r>
        <w:t xml:space="preserve">. Each site was assessed using replicated belt transects at two depth strata (shallow: 3–5 m; deep: 8–12 m), with three replicate transects per stratum per site (n = 6 transects per site). Site locations were recorded using GPS and mapped for repeatability in future monitoring rounds.</w:t>
      </w:r>
    </w:p>
    <w:bookmarkEnd w:id="37"/>
    <w:bookmarkStart w:id="47" w:name="data-processing"/>
    <w:p>
      <w:pPr>
        <w:pStyle w:val="Heading2"/>
      </w:pPr>
      <w:r>
        <w:t xml:space="preserve">2.3 Data Processing</w:t>
      </w:r>
    </w:p>
    <w:bookmarkStart w:id="39" w:name="sec-benthicmethod"/>
    <w:p>
      <w:pPr>
        <w:pStyle w:val="Heading3"/>
      </w:pPr>
      <w:r>
        <w:t xml:space="preserve">2.3.1 Benthic Substrate Assessment</w:t>
      </w:r>
    </w:p>
    <w:p>
      <w:pPr>
        <w:pStyle w:val="FirstParagraph"/>
      </w:pPr>
    </w:p>
    <w:p>
      <w:pPr>
        <w:pStyle w:val="BodyText"/>
      </w:pPr>
      <w:r>
        <w:t xml:space="preserve">Benthic cover was estimated using the Point-Intercept Transect (PIT) method</w:t>
      </w:r>
      <w:r>
        <w:t xml:space="preserve"> </w:t>
      </w:r>
      <w:r>
        <w:t xml:space="preserve">(</w:t>
      </w:r>
      <w:hyperlink w:anchor="ref-english1997survey">
        <w:r>
          <w:rPr>
            <w:rStyle w:val="Hyperlink"/>
          </w:rPr>
          <w:t xml:space="preserve">English, Wilkinson, and Baker 1997</w:t>
        </w:r>
      </w:hyperlink>
      <w:r>
        <w:t xml:space="preserve">)</w:t>
      </w:r>
      <w:r>
        <w:t xml:space="preserve">, where substrate categories were recorded at 0.5 m intervals along each 25 m transect tape, resulting in 50 data points per transect. These observations were classified according to the GCRMN scheme into seven primary categories: hard coral, soft coral, crustose coralline algae (CCA), algae (comprising both turf and macroalgae), rubble, sand, and other biota or substrate (e.g., rock, sponge). Finally, benthic cover estimates were derived by calculating the percentage of total points occupied by each category relative to the total number of points sampled per transect.</w:t>
      </w:r>
    </w:p>
    <w:p>
      <w:pPr>
        <w:pStyle w:val="BodyText"/>
      </w:pPr>
      <w:bookmarkStart w:id="38" w:name="eq-benthic-cover"/>
      <m:oMathPara>
        <m:oMathParaPr>
          <m:jc m:val="center"/>
        </m:oMathParaPr>
        <m:oMath>
          <m:sSub>
            <m:e>
              <m:r>
                <m:t>C</m:t>
              </m:r>
            </m:e>
            <m:sub>
              <m:r>
                <m:t>i</m:t>
              </m:r>
            </m:sub>
          </m:sSub>
          <m:r>
            <m:rPr>
              <m:sty m:val="p"/>
            </m:rPr>
            <m:t>=</m:t>
          </m:r>
          <m:d>
            <m:dPr>
              <m:begChr m:val="("/>
              <m:endChr m:val=")"/>
              <m:sepChr m:val=""/>
              <m:grow/>
            </m:dPr>
            <m:e>
              <m:f>
                <m:fPr>
                  <m:type m:val="bar"/>
                </m:fPr>
                <m:num>
                  <m:sSub>
                    <m:e>
                      <m:r>
                        <m:t>n</m:t>
                      </m:r>
                    </m:e>
                    <m:sub>
                      <m:r>
                        <m:t>i</m:t>
                      </m:r>
                    </m:sub>
                  </m:sSub>
                </m:num>
                <m:den>
                  <m:r>
                    <m:t>N</m:t>
                  </m:r>
                </m:den>
              </m:f>
            </m:e>
          </m:d>
          <m:r>
            <m:rPr>
              <m:sty m:val="p"/>
            </m:rPr>
            <m:t>×</m:t>
          </m:r>
          <m:r>
            <m:t>100</m:t>
          </m:r>
          <m:r>
            <m:t>  </m:t>
          </m:r>
          <m:d>
            <m:dPr>
              <m:begChr m:val="("/>
              <m:endChr m:val=")"/>
              <m:sepChr m:val=""/>
              <m:grow/>
            </m:dPr>
            <m:e>
              <m:r>
                <m:t>1</m:t>
              </m:r>
            </m:e>
          </m:d>
        </m:oMath>
      </m:oMathPara>
      <w:bookmarkEnd w:id="38"/>
    </w:p>
    <w:p>
      <w:pPr>
        <w:pStyle w:val="FirstParagraph"/>
      </w:pPr>
      <w:r>
        <w:t xml:space="preserve">where</w:t>
      </w:r>
      <w:r>
        <w:t xml:space="preserve"> </w:t>
      </w:r>
      <m:oMath>
        <m:sSub>
          <m:e>
            <m:r>
              <m:t>C</m:t>
            </m:r>
          </m:e>
          <m:sub>
            <m:r>
              <m:t>i</m:t>
            </m:r>
          </m:sub>
        </m:sSub>
      </m:oMath>
      <w:r>
        <w:t xml:space="preserve"> </w:t>
      </w:r>
      <w:r>
        <w:t xml:space="preserve">is the percentage cover of substrate category</w:t>
      </w:r>
      <w:r>
        <w:t xml:space="preserve"> </w:t>
      </w:r>
      <m:oMath>
        <m:r>
          <m:t>i</m:t>
        </m:r>
      </m:oMath>
      <w:r>
        <w:t xml:space="preserve">,</w:t>
      </w:r>
      <w:r>
        <w:t xml:space="preserve"> </w:t>
      </w:r>
      <m:oMath>
        <m:sSub>
          <m:e>
            <m:r>
              <m:t>n</m:t>
            </m:r>
          </m:e>
          <m:sub>
            <m:r>
              <m:t>i</m:t>
            </m:r>
          </m:sub>
        </m:sSub>
      </m:oMath>
      <w:r>
        <w:t xml:space="preserve"> </w:t>
      </w:r>
      <w:r>
        <w:t xml:space="preserve">is the number of points where category</w:t>
      </w:r>
      <w:r>
        <w:t xml:space="preserve"> </w:t>
      </w:r>
      <m:oMath>
        <m:r>
          <m:t>i</m:t>
        </m:r>
      </m:oMath>
      <w:r>
        <w:t xml:space="preserve"> </w:t>
      </w:r>
      <w:r>
        <w:t xml:space="preserve">was recorded, and</w:t>
      </w:r>
      <w:r>
        <w:t xml:space="preserve"> </w:t>
      </w:r>
      <m:oMath>
        <m:r>
          <m:t>N</m:t>
        </m:r>
      </m:oMath>
      <w:r>
        <w:t xml:space="preserve"> </w:t>
      </w:r>
      <w:r>
        <w:t xml:space="preserve">is the total number of points sampled per transect.</w:t>
      </w:r>
      <w:r>
        <w:t xml:space="preserve"> </w:t>
      </w:r>
      <w:hyperlink w:anchor="eq-benthic-cover">
        <w:r>
          <w:rPr>
            <w:rStyle w:val="Hyperlink"/>
          </w:rPr>
          <w:t xml:space="preserve">Equation 1</w:t>
        </w:r>
      </w:hyperlink>
      <w:r>
        <w:t xml:space="preserve"> </w:t>
      </w:r>
      <w:r>
        <w:t xml:space="preserve">was used to calculate the relative abundance of benthic components.</w:t>
      </w:r>
    </w:p>
    <w:bookmarkEnd w:id="39"/>
    <w:bookmarkStart w:id="42" w:name="sec-fishmethod"/>
    <w:p>
      <w:pPr>
        <w:pStyle w:val="Heading3"/>
      </w:pPr>
      <w:r>
        <w:t xml:space="preserve">2.3.2 Fish Biomass Assessment</w:t>
      </w:r>
    </w:p>
    <w:p>
      <w:pPr>
        <w:pStyle w:val="FirstParagraph"/>
      </w:pPr>
    </w:p>
    <w:p>
      <w:pPr>
        <w:pStyle w:val="BodyText"/>
      </w:pPr>
      <w:r>
        <w:t xml:space="preserve">Fish biomass and density were estimated using underwater visual census (UVC) belt transects (50 m x 5 m). All fish species observed within the belt were identified to family level, counted, and their total length estimated to the nearest centimetre. Fish density was calculated as the number of individuals per unit area (individuals per 100 m</w:t>
      </w:r>
      <w:r>
        <w:rPr>
          <w:vertAlign w:val="superscript"/>
        </w:rPr>
        <w:t xml:space="preserve">2</w:t>
      </w:r>
      <w:r>
        <w:t xml:space="preserve">).</w:t>
      </w:r>
      <w:r>
        <w:t xml:space="preserve"> </w:t>
      </w:r>
      <w:hyperlink w:anchor="eq-density">
        <w:r>
          <w:rPr>
            <w:rStyle w:val="Hyperlink"/>
          </w:rPr>
          <w:t xml:space="preserve">Equation 2</w:t>
        </w:r>
      </w:hyperlink>
      <w:r>
        <w:t xml:space="preserve"> </w:t>
      </w:r>
      <w:r>
        <w:t xml:space="preserve">was used to calculate the density of fish in an area.</w:t>
      </w:r>
    </w:p>
    <w:p>
      <w:pPr>
        <w:pStyle w:val="BodyText"/>
      </w:pPr>
      <w:bookmarkStart w:id="40" w:name="eq-density"/>
      <m:oMathPara>
        <m:oMathParaPr>
          <m:jc m:val="center"/>
        </m:oMathParaPr>
        <m:oMath>
          <m:r>
            <m:t>D</m:t>
          </m:r>
          <m:r>
            <m:rPr>
              <m:sty m:val="p"/>
            </m:rPr>
            <m:t>=</m:t>
          </m:r>
          <m:f>
            <m:fPr>
              <m:type m:val="bar"/>
            </m:fPr>
            <m:num>
              <m:r>
                <m:t>N</m:t>
              </m:r>
            </m:num>
            <m:den>
              <m:r>
                <m:t>A</m:t>
              </m:r>
            </m:den>
          </m:f>
          <m:r>
            <m:rPr>
              <m:sty m:val="p"/>
            </m:rPr>
            <m:t>×</m:t>
          </m:r>
          <m:r>
            <m:t>100</m:t>
          </m:r>
          <m:r>
            <m:t>  </m:t>
          </m:r>
          <m:d>
            <m:dPr>
              <m:begChr m:val="("/>
              <m:endChr m:val=")"/>
              <m:sepChr m:val=""/>
              <m:grow/>
            </m:dPr>
            <m:e>
              <m:r>
                <m:t>2</m:t>
              </m:r>
            </m:e>
          </m:d>
        </m:oMath>
      </m:oMathPara>
      <w:bookmarkEnd w:id="40"/>
    </w:p>
    <w:p>
      <w:pPr>
        <w:pStyle w:val="FirstParagraph"/>
      </w:pPr>
      <w:r>
        <w:t xml:space="preserve">where</w:t>
      </w:r>
      <w:r>
        <w:t xml:space="preserve"> </w:t>
      </w:r>
      <m:oMath>
        <m:r>
          <m:t>D</m:t>
        </m:r>
      </m:oMath>
      <w:r>
        <w:t xml:space="preserve"> </w:t>
      </w:r>
      <w:r>
        <w:t xml:space="preserve">is density,</w:t>
      </w:r>
      <w:r>
        <w:t xml:space="preserve"> </w:t>
      </w:r>
      <m:oMath>
        <m:r>
          <m:t>N</m:t>
        </m:r>
      </m:oMath>
      <w:r>
        <w:t xml:space="preserve"> </w:t>
      </w:r>
      <w:r>
        <w:t xml:space="preserve">is the count of individuals, and</w:t>
      </w:r>
      <w:r>
        <w:t xml:space="preserve"> </w:t>
      </w:r>
      <m:oMath>
        <m:r>
          <m:t>A</m:t>
        </m:r>
      </m:oMath>
      <w:r>
        <w:t xml:space="preserve"> </w:t>
      </w:r>
      <w:r>
        <w:t xml:space="preserve">is the sampled area (250 m</w:t>
      </w:r>
      <w:r>
        <w:rPr>
          <w:vertAlign w:val="superscript"/>
        </w:rPr>
        <w:t xml:space="preserve">2</w:t>
      </w:r>
      <w:r>
        <w:t xml:space="preserve">).</w:t>
      </w:r>
      <w:r>
        <w:t xml:space="preserve"> </w:t>
      </w:r>
      <w:hyperlink w:anchor="eq-density">
        <w:r>
          <w:rPr>
            <w:rStyle w:val="Hyperlink"/>
          </w:rPr>
          <w:t xml:space="preserve">Equation 2</w:t>
        </w:r>
      </w:hyperlink>
      <w:r>
        <w:t xml:space="preserve"> </w:t>
      </w:r>
      <w:r>
        <w:t xml:space="preserve">describes the standard calculation for fish density.</w:t>
      </w:r>
    </w:p>
    <w:p>
      <w:pPr>
        <w:pStyle w:val="BodyText"/>
      </w:pPr>
      <w:r>
        <w:t xml:space="preserve">Biomass (kg/ha) was calculated from length-weight relationships derived from FishBase</w:t>
      </w:r>
      <w:r>
        <w:t xml:space="preserve"> </w:t>
      </w:r>
      <w:r>
        <w:t xml:space="preserve">(</w:t>
      </w:r>
      <w:hyperlink w:anchor="ref-froese2023fishbase">
        <w:r>
          <w:rPr>
            <w:rStyle w:val="Hyperlink"/>
          </w:rPr>
          <w:t xml:space="preserve">Froese and Pauly 2023</w:t>
        </w:r>
      </w:hyperlink>
      <w:r>
        <w:t xml:space="preserve">)</w:t>
      </w:r>
      <w:r>
        <w:t xml:space="preserve">, applying species-specific allometric parameters.</w:t>
      </w:r>
      <w:r>
        <w:t xml:space="preserve"> </w:t>
      </w:r>
      <w:hyperlink w:anchor="eq-biomass">
        <w:r>
          <w:rPr>
            <w:rStyle w:val="Hyperlink"/>
          </w:rPr>
          <w:t xml:space="preserve">Equation 3</w:t>
        </w:r>
      </w:hyperlink>
      <w:r>
        <w:t xml:space="preserve"> </w:t>
      </w:r>
      <w:r>
        <w:t xml:space="preserve">was used to calculate the biomass of fish per area.</w:t>
      </w:r>
    </w:p>
    <w:p>
      <w:pPr>
        <w:pStyle w:val="BodyText"/>
      </w:pPr>
      <w:bookmarkStart w:id="41" w:name="eq-biomass"/>
      <m:oMathPara>
        <m:oMathParaPr>
          <m:jc m:val="center"/>
        </m:oMathParaPr>
        <m:oMath>
          <m:r>
            <m:t>W</m:t>
          </m:r>
          <m:r>
            <m:rPr>
              <m:sty m:val="p"/>
            </m:rPr>
            <m:t>=</m:t>
          </m:r>
          <m:r>
            <m:t>a</m:t>
          </m:r>
          <m:r>
            <m:rPr>
              <m:sty m:val="p"/>
            </m:rPr>
            <m:t>⋅</m:t>
          </m:r>
          <m:sSup>
            <m:e>
              <m:r>
                <m:t>L</m:t>
              </m:r>
            </m:e>
            <m:sup>
              <m:r>
                <m:t>b</m:t>
              </m:r>
            </m:sup>
          </m:sSup>
          <m:r>
            <m:t>  </m:t>
          </m:r>
          <m:d>
            <m:dPr>
              <m:begChr m:val="("/>
              <m:endChr m:val=")"/>
              <m:sepChr m:val=""/>
              <m:grow/>
            </m:dPr>
            <m:e>
              <m:r>
                <m:t>3</m:t>
              </m:r>
            </m:e>
          </m:d>
        </m:oMath>
      </m:oMathPara>
      <w:bookmarkEnd w:id="41"/>
    </w:p>
    <w:p>
      <w:pPr>
        <w:pStyle w:val="FirstParagraph"/>
      </w:pPr>
      <w:r>
        <w:t xml:space="preserve">where</w:t>
      </w:r>
      <w:r>
        <w:t xml:space="preserve"> </w:t>
      </w:r>
      <m:oMath>
        <m:r>
          <m:t>W</m:t>
        </m:r>
      </m:oMath>
      <w:r>
        <w:t xml:space="preserve"> </w:t>
      </w:r>
      <w:r>
        <w:t xml:space="preserve">is weight (g),</w:t>
      </w:r>
      <w:r>
        <w:t xml:space="preserve"> </w:t>
      </w:r>
      <m:oMath>
        <m:r>
          <m:t>L</m:t>
        </m:r>
      </m:oMath>
      <w:r>
        <w:t xml:space="preserve"> </w:t>
      </w:r>
      <w:r>
        <w:t xml:space="preserve">is total length (cm), and</w:t>
      </w:r>
      <w:r>
        <w:t xml:space="preserve"> </w:t>
      </w:r>
      <m:oMath>
        <m:r>
          <m:t>a</m:t>
        </m:r>
      </m:oMath>
      <w:r>
        <w:t xml:space="preserve"> </w:t>
      </w:r>
      <w:r>
        <w:t xml:space="preserve">and</w:t>
      </w:r>
      <w:r>
        <w:t xml:space="preserve"> </w:t>
      </w:r>
      <m:oMath>
        <m:r>
          <m:t>b</m:t>
        </m:r>
      </m:oMath>
      <w:r>
        <w:t xml:space="preserve"> </w:t>
      </w:r>
      <w:r>
        <w:t xml:space="preserve">are species-specific constants.</w:t>
      </w:r>
      <w:r>
        <w:t xml:space="preserve"> </w:t>
      </w:r>
      <w:hyperlink w:anchor="eq-biomass">
        <w:r>
          <w:rPr>
            <w:rStyle w:val="Hyperlink"/>
          </w:rPr>
          <w:t xml:space="preserve">Equation 3</w:t>
        </w:r>
      </w:hyperlink>
      <w:r>
        <w:t xml:space="preserve"> </w:t>
      </w:r>
      <w:r>
        <w:t xml:space="preserve">is used to estimate individual fish weight for biomass calculations. Fish assemblages were characterised by trophic group (herbivores, piscivores, invertivores, and omnivores).</w:t>
      </w:r>
    </w:p>
    <w:bookmarkEnd w:id="42"/>
    <w:bookmarkStart w:id="44" w:name="sec-recruitmethod"/>
    <w:p>
      <w:pPr>
        <w:pStyle w:val="Heading3"/>
      </w:pPr>
      <w:r>
        <w:t xml:space="preserve">2.3.3 Coral Recruit Assessment</w:t>
      </w:r>
    </w:p>
    <w:p>
      <w:pPr>
        <w:pStyle w:val="FirstParagraph"/>
      </w:pPr>
    </w:p>
    <w:p>
      <w:pPr>
        <w:pStyle w:val="BodyText"/>
      </w:pPr>
      <w:r>
        <w:t xml:space="preserve">Coral recruit density was assessed using 1 m</w:t>
      </w:r>
      <w:r>
        <w:rPr>
          <w:vertAlign w:val="superscript"/>
        </w:rPr>
        <w:t xml:space="preserve">2</w:t>
      </w:r>
      <w:r>
        <w:t xml:space="preserve"> </w:t>
      </w:r>
      <w:r>
        <w:t xml:space="preserve">quadrats placed at 1 m intervals along each transect (25 quadrats per transect). All coral recruits less than or equal to 5 cm maximum diameter were counted and identified to genus level where possible</w:t>
      </w:r>
      <w:r>
        <w:t xml:space="preserve"> </w:t>
      </w:r>
      <w:r>
        <w:t xml:space="preserve">(</w:t>
      </w:r>
      <w:hyperlink w:anchor="ref-babcock1992coral">
        <w:r>
          <w:rPr>
            <w:rStyle w:val="Hyperlink"/>
          </w:rPr>
          <w:t xml:space="preserve">Babcock et al. 1992</w:t>
        </w:r>
      </w:hyperlink>
      <w:r>
        <w:t xml:space="preserve">)</w:t>
      </w:r>
      <w:r>
        <w:t xml:space="preserve">. Recruit density is expressed as recruits 100 m</w:t>
      </w:r>
      <w:r>
        <w:rPr>
          <w:vertAlign w:val="superscript"/>
        </w:rPr>
        <w:t xml:space="preserve">-2</w:t>
      </w:r>
      <w:r>
        <w:t xml:space="preserve"> </w:t>
      </w:r>
      <w:r>
        <w:t xml:space="preserve">using</w:t>
      </w:r>
      <w:r>
        <w:t xml:space="preserve"> </w:t>
      </w:r>
      <w:hyperlink w:anchor="eq-recruit-density">
        <w:r>
          <w:rPr>
            <w:rStyle w:val="Hyperlink"/>
          </w:rPr>
          <w:t xml:space="preserve">Equation 4</w:t>
        </w:r>
      </w:hyperlink>
      <w:r>
        <w:t xml:space="preserve">:</w:t>
      </w:r>
    </w:p>
    <w:p>
      <w:pPr>
        <w:pStyle w:val="BodyText"/>
      </w:pPr>
      <w:bookmarkStart w:id="43" w:name="eq-recruit-density"/>
      <m:oMathPara>
        <m:oMathParaPr>
          <m:jc m:val="center"/>
        </m:oMathParaPr>
        <m:oMath>
          <m:r>
            <m:t>R</m:t>
          </m:r>
          <m:r>
            <m:t>D</m:t>
          </m:r>
          <m:r>
            <m:rPr>
              <m:sty m:val="p"/>
            </m:rPr>
            <m:t>=</m:t>
          </m:r>
          <m:f>
            <m:fPr>
              <m:type m:val="bar"/>
            </m:fPr>
            <m:num>
              <m:r>
                <m:rPr>
                  <m:sty m:val="p"/>
                </m:rPr>
                <m:t>∑</m:t>
              </m:r>
              <m:sSub>
                <m:e>
                  <m:r>
                    <m:t>n</m:t>
                  </m:r>
                </m:e>
                <m:sub>
                  <m:r>
                    <m:t>r</m:t>
                  </m:r>
                </m:sub>
              </m:sSub>
            </m:num>
            <m:den>
              <m:r>
                <m:t>A</m:t>
              </m:r>
            </m:den>
          </m:f>
          <m:r>
            <m:rPr>
              <m:sty m:val="p"/>
            </m:rPr>
            <m:t>×</m:t>
          </m:r>
          <m:r>
            <m:t>100</m:t>
          </m:r>
          <m:r>
            <m:t>  </m:t>
          </m:r>
          <m:d>
            <m:dPr>
              <m:begChr m:val="("/>
              <m:endChr m:val=")"/>
              <m:sepChr m:val=""/>
              <m:grow/>
            </m:dPr>
            <m:e>
              <m:r>
                <m:t>4</m:t>
              </m:r>
            </m:e>
          </m:d>
        </m:oMath>
      </m:oMathPara>
      <w:bookmarkEnd w:id="43"/>
    </w:p>
    <w:p>
      <w:pPr>
        <w:pStyle w:val="FirstParagraph"/>
      </w:pPr>
      <w:r>
        <w:t xml:space="preserve">where</w:t>
      </w:r>
      <w:r>
        <w:t xml:space="preserve"> </w:t>
      </w:r>
      <m:oMath>
        <m:r>
          <m:t>R</m:t>
        </m:r>
        <m:r>
          <m:t>D</m:t>
        </m:r>
      </m:oMath>
      <w:r>
        <w:t xml:space="preserve"> </w:t>
      </w:r>
      <w:r>
        <w:t xml:space="preserve">is the recruit density (individuals per 100 m</w:t>
      </w:r>
      <w:r>
        <w:rPr>
          <w:vertAlign w:val="superscript"/>
        </w:rPr>
        <w:t xml:space="preserve">2</w:t>
      </w:r>
      <w:r>
        <w:t xml:space="preserve">),</w:t>
      </w:r>
      <w:r>
        <w:t xml:space="preserve"> </w:t>
      </w:r>
      <m:oMath>
        <m:sSub>
          <m:e>
            <m:r>
              <m:t>n</m:t>
            </m:r>
          </m:e>
          <m:sub>
            <m:r>
              <m:t>r</m:t>
            </m:r>
          </m:sub>
        </m:sSub>
      </m:oMath>
      <w:r>
        <w:t xml:space="preserve"> </w:t>
      </w:r>
      <w:r>
        <w:t xml:space="preserve">is the number of recruits counted, and</w:t>
      </w:r>
      <w:r>
        <w:t xml:space="preserve"> </w:t>
      </w:r>
      <m:oMath>
        <m:r>
          <m:t>A</m:t>
        </m:r>
      </m:oMath>
      <w:r>
        <w:t xml:space="preserve"> </w:t>
      </w:r>
      <w:r>
        <w:t xml:space="preserve">is the total area sampled (m</w:t>
      </w:r>
      <w:r>
        <w:rPr>
          <w:vertAlign w:val="superscript"/>
        </w:rPr>
        <w:t xml:space="preserve">2</w:t>
      </w:r>
      <w:r>
        <w:t xml:space="preserve">).</w:t>
      </w:r>
    </w:p>
    <w:bookmarkEnd w:id="44"/>
    <w:bookmarkStart w:id="46" w:name="sec-invertmethod"/>
    <w:p>
      <w:pPr>
        <w:pStyle w:val="Heading3"/>
      </w:pPr>
      <w:r>
        <w:t xml:space="preserve">2.3.4 Invertebrate Assessment</w:t>
      </w:r>
    </w:p>
    <w:p>
      <w:pPr>
        <w:pStyle w:val="FirstParagraph"/>
      </w:pPr>
    </w:p>
    <w:p>
      <w:pPr>
        <w:pStyle w:val="BodyText"/>
      </w:pPr>
      <w:r>
        <w:t xml:space="preserve">Key indicator invertebrates were quantified using visual belt transects measuring 25 m in length and 2 m in width, covering a total area of 50 m</w:t>
      </w:r>
      <w:r>
        <w:rPr>
          <w:vertAlign w:val="superscript"/>
        </w:rPr>
        <w:t xml:space="preserve">2</w:t>
      </w:r>
      <w:r>
        <w:t xml:space="preserve"> </w:t>
      </w:r>
      <w:r>
        <w:t xml:space="preserve">per replicate. The survey focused on ecologically and commercially significant taxa, specifically sea urchins (</w:t>
      </w:r>
      <w:r>
        <w:rPr>
          <w:i/>
          <w:iCs/>
        </w:rPr>
        <w:t xml:space="preserve">Diadema</w:t>
      </w:r>
      <w:r>
        <w:t xml:space="preserve"> </w:t>
      </w:r>
      <w:r>
        <w:t xml:space="preserve">spp.,</w:t>
      </w:r>
      <w:r>
        <w:t xml:space="preserve"> </w:t>
      </w:r>
      <w:r>
        <w:rPr>
          <w:i/>
          <w:iCs/>
        </w:rPr>
        <w:t xml:space="preserve">Echinometra</w:t>
      </w:r>
      <w:r>
        <w:t xml:space="preserve"> </w:t>
      </w:r>
      <w:r>
        <w:t xml:space="preserve">spp., and</w:t>
      </w:r>
      <w:r>
        <w:t xml:space="preserve"> </w:t>
      </w:r>
      <w:r>
        <w:rPr>
          <w:i/>
          <w:iCs/>
        </w:rPr>
        <w:t xml:space="preserve">Tripneustes</w:t>
      </w:r>
      <w:r>
        <w:t xml:space="preserve"> </w:t>
      </w:r>
      <w:r>
        <w:t xml:space="preserve">spp.) which serve as primary algal grazers; sea cucumbers (</w:t>
      </w:r>
      <w:r>
        <w:rPr>
          <w:i/>
          <w:iCs/>
        </w:rPr>
        <w:t xml:space="preserve">Holothuria</w:t>
      </w:r>
      <w:r>
        <w:t xml:space="preserve"> </w:t>
      </w:r>
      <w:r>
        <w:t xml:space="preserve">spp.,</w:t>
      </w:r>
      <w:r>
        <w:t xml:space="preserve"> </w:t>
      </w:r>
      <w:r>
        <w:rPr>
          <w:i/>
          <w:iCs/>
        </w:rPr>
        <w:t xml:space="preserve">Thelenota</w:t>
      </w:r>
      <w:r>
        <w:t xml:space="preserve"> </w:t>
      </w:r>
      <w:r>
        <w:t xml:space="preserve">spp., and</w:t>
      </w:r>
      <w:r>
        <w:t xml:space="preserve"> </w:t>
      </w:r>
      <w:r>
        <w:rPr>
          <w:i/>
          <w:iCs/>
        </w:rPr>
        <w:t xml:space="preserve">Actinopyga</w:t>
      </w:r>
      <w:r>
        <w:t xml:space="preserve"> </w:t>
      </w:r>
      <w:r>
        <w:t xml:space="preserve">spp.) which act as essential nutrient cyclers; and giant clams (</w:t>
      </w:r>
      <w:r>
        <w:rPr>
          <w:i/>
          <w:iCs/>
        </w:rPr>
        <w:t xml:space="preserve">Tridacna</w:t>
      </w:r>
      <w:r>
        <w:t xml:space="preserve"> </w:t>
      </w:r>
      <w:r>
        <w:t xml:space="preserve">spp.) which are indicators of harvesting pressure. Abundance data were standardized to density per unit area to allow for cross-site comparisons. The density for each taxon was calculated using</w:t>
      </w:r>
      <w:r>
        <w:t xml:space="preserve"> </w:t>
      </w:r>
      <w:hyperlink w:anchor="eq-invert-density">
        <w:r>
          <w:rPr>
            <w:rStyle w:val="Hyperlink"/>
          </w:rPr>
          <w:t xml:space="preserve">Equation 5</w:t>
        </w:r>
      </w:hyperlink>
      <w:r>
        <w:t xml:space="preserve">:</w:t>
      </w:r>
    </w:p>
    <w:p>
      <w:pPr>
        <w:pStyle w:val="BodyText"/>
      </w:pPr>
      <w:bookmarkStart w:id="45" w:name="eq-invert-density"/>
      <m:oMathPara>
        <m:oMathParaPr>
          <m:jc m:val="center"/>
        </m:oMathParaPr>
        <m:oMath>
          <m:r>
            <m:t>I</m:t>
          </m:r>
          <m:r>
            <m:t>D</m:t>
          </m:r>
          <m:r>
            <m:rPr>
              <m:sty m:val="p"/>
            </m:rPr>
            <m:t>=</m:t>
          </m:r>
          <m:f>
            <m:fPr>
              <m:type m:val="bar"/>
            </m:fPr>
            <m:num>
              <m:r>
                <m:rPr>
                  <m:sty m:val="p"/>
                </m:rPr>
                <m:t>∑</m:t>
              </m:r>
              <m:sSub>
                <m:e>
                  <m:r>
                    <m:t>n</m:t>
                  </m:r>
                </m:e>
                <m:sub>
                  <m:r>
                    <m:t>i</m:t>
                  </m:r>
                </m:sub>
              </m:sSub>
            </m:num>
            <m:den>
              <m:r>
                <m:t>A</m:t>
              </m:r>
            </m:den>
          </m:f>
          <m:r>
            <m:rPr>
              <m:sty m:val="p"/>
            </m:rPr>
            <m:t>×</m:t>
          </m:r>
          <m:r>
            <m:t>100</m:t>
          </m:r>
          <m:r>
            <m:t>  </m:t>
          </m:r>
          <m:d>
            <m:dPr>
              <m:begChr m:val="("/>
              <m:endChr m:val=")"/>
              <m:sepChr m:val=""/>
              <m:grow/>
            </m:dPr>
            <m:e>
              <m:r>
                <m:t>5</m:t>
              </m:r>
            </m:e>
          </m:d>
        </m:oMath>
      </m:oMathPara>
      <w:bookmarkEnd w:id="45"/>
    </w:p>
    <w:p>
      <w:pPr>
        <w:pStyle w:val="FirstParagraph"/>
      </w:pPr>
      <w:r>
        <w:t xml:space="preserve">where</w:t>
      </w:r>
      <w:r>
        <w:t xml:space="preserve"> </w:t>
      </w:r>
      <m:oMath>
        <m:r>
          <m:t>I</m:t>
        </m:r>
        <m:r>
          <m:t>D</m:t>
        </m:r>
      </m:oMath>
      <w:r>
        <w:t xml:space="preserve"> </w:t>
      </w:r>
      <w:r>
        <w:t xml:space="preserve">represents the invertebrate density (individuals per 100 m</w:t>
      </w:r>
      <w:r>
        <w:rPr>
          <w:vertAlign w:val="superscript"/>
        </w:rPr>
        <w:t xml:space="preserve">2</w:t>
      </w:r>
      <w:r>
        <w:t xml:space="preserve">),</w:t>
      </w:r>
      <w:r>
        <w:t xml:space="preserve"> </w:t>
      </w:r>
      <m:oMath>
        <m:sSub>
          <m:e>
            <m:r>
              <m:t>n</m:t>
            </m:r>
          </m:e>
          <m:sub>
            <m:r>
              <m:t>i</m:t>
            </m:r>
          </m:sub>
        </m:sSub>
      </m:oMath>
      <w:r>
        <w:t xml:space="preserve"> </w:t>
      </w:r>
      <w:r>
        <w:t xml:space="preserve">is the total count of individuals for a specific taxon, and</w:t>
      </w:r>
      <w:r>
        <w:t xml:space="preserve"> </w:t>
      </w:r>
      <m:oMath>
        <m:r>
          <m:t>A</m:t>
        </m:r>
      </m:oMath>
      <w:r>
        <w:t xml:space="preserve"> </w:t>
      </w:r>
      <w:r>
        <w:t xml:space="preserve">is the total area surveyed (m</w:t>
      </w:r>
      <w:r>
        <w:rPr>
          <w:vertAlign w:val="superscript"/>
        </w:rPr>
        <w:t xml:space="preserve">2</w:t>
      </w:r>
      <w:r>
        <w:t xml:space="preserve">). This standardization ensures that results are comparable with regional Western Indian Ocean (WIO) datasets.</w:t>
      </w:r>
    </w:p>
    <w:bookmarkEnd w:id="46"/>
    <w:bookmarkEnd w:id="47"/>
    <w:bookmarkStart w:id="48" w:name="sec-dataanalysis"/>
    <w:p>
      <w:pPr>
        <w:pStyle w:val="Heading2"/>
      </w:pPr>
      <w:r>
        <w:t xml:space="preserve">2.4 Data Analysis, Visualization and Reporting</w:t>
      </w:r>
    </w:p>
    <w:p>
      <w:pPr>
        <w:pStyle w:val="FirstParagraph"/>
      </w:pPr>
      <w:r>
        <w:t xml:space="preserve">All data were analysed in R (v4.5.0;</w:t>
      </w:r>
      <w:r>
        <w:t xml:space="preserve"> </w:t>
      </w:r>
      <w:r>
        <w:t xml:space="preserve">R Core Team (</w:t>
      </w:r>
      <w:hyperlink w:anchor="ref-rcoreteam2024">
        <w:r>
          <w:rPr>
            <w:rStyle w:val="Hyperlink"/>
          </w:rPr>
          <w:t xml:space="preserve">2024</w:t>
        </w:r>
      </w:hyperlink>
      <w:r>
        <w:t xml:space="preserve">)</w:t>
      </w:r>
      <w:r>
        <w:t xml:space="preserve">). Site-level metrics are summarised as means +/- standard error (SE). Differences in reef metrics between were assessed using</w:t>
      </w:r>
      <w:r>
        <w:t xml:space="preserve"> </w:t>
      </w:r>
      <w:r>
        <w:rPr>
          <w:b/>
          <w:bCs/>
        </w:rPr>
        <w:t xml:space="preserve">rstatix</w:t>
      </w:r>
      <w:r>
        <w:t xml:space="preserve"> </w:t>
      </w:r>
      <w:r>
        <w:t xml:space="preserve">(</w:t>
      </w:r>
      <w:hyperlink w:anchor="ref-rstatix">
        <w:r>
          <w:rPr>
            <w:rStyle w:val="Hyperlink"/>
          </w:rPr>
          <w:t xml:space="preserve">Kassambara 2025</w:t>
        </w:r>
      </w:hyperlink>
      <w:r>
        <w:t xml:space="preserve">)</w:t>
      </w:r>
      <w:r>
        <w:t xml:space="preserve">. Figures were produced using the</w:t>
      </w:r>
      <w:r>
        <w:t xml:space="preserve"> </w:t>
      </w:r>
      <w:r>
        <w:rPr>
          <w:b/>
          <w:bCs/>
        </w:rPr>
        <w:t xml:space="preserve">ggplot2</w:t>
      </w:r>
      <w:r>
        <w:t xml:space="preserve"> </w:t>
      </w:r>
      <w:r>
        <w:t xml:space="preserve">(</w:t>
      </w:r>
      <w:hyperlink w:anchor="ref-wickham2016ggplot2">
        <w:r>
          <w:rPr>
            <w:rStyle w:val="Hyperlink"/>
          </w:rPr>
          <w:t xml:space="preserve">Wickham 2016</w:t>
        </w:r>
      </w:hyperlink>
      <w:r>
        <w:t xml:space="preserve">)</w:t>
      </w:r>
      <w:r>
        <w:t xml:space="preserve"> </w:t>
      </w:r>
      <w:r>
        <w:t xml:space="preserve">and</w:t>
      </w:r>
      <w:r>
        <w:t xml:space="preserve"> </w:t>
      </w:r>
      <w:r>
        <w:rPr>
          <w:b/>
          <w:bCs/>
        </w:rPr>
        <w:t xml:space="preserve">tidyplots</w:t>
      </w:r>
      <w:r>
        <w:t xml:space="preserve"> </w:t>
      </w:r>
      <w:r>
        <w:t xml:space="preserve">(</w:t>
      </w:r>
      <w:hyperlink w:anchor="ref-tidyplots">
        <w:r>
          <w:rPr>
            <w:rStyle w:val="Hyperlink"/>
          </w:rPr>
          <w:t xml:space="preserve">Engler 2025</w:t>
        </w:r>
      </w:hyperlink>
      <w:r>
        <w:t xml:space="preserve">)</w:t>
      </w:r>
      <w:r>
        <w:t xml:space="preserve">, maps using the</w:t>
      </w:r>
      <w:r>
        <w:t xml:space="preserve"> </w:t>
      </w:r>
      <w:r>
        <w:rPr>
          <w:b/>
          <w:bCs/>
        </w:rPr>
        <w:t xml:space="preserve">sf</w:t>
      </w:r>
      <w:r>
        <w:t xml:space="preserve"> </w:t>
      </w:r>
      <w:r>
        <w:t xml:space="preserve">package</w:t>
      </w:r>
      <w:r>
        <w:t xml:space="preserve"> </w:t>
      </w:r>
      <w:r>
        <w:t xml:space="preserve">(</w:t>
      </w:r>
      <w:hyperlink w:anchor="ref-pebesma2018sf">
        <w:r>
          <w:rPr>
            <w:rStyle w:val="Hyperlink"/>
          </w:rPr>
          <w:t xml:space="preserve">Pebesma 2018</w:t>
        </w:r>
      </w:hyperlink>
      <w:r>
        <w:t xml:space="preserve">)</w:t>
      </w:r>
      <w:r>
        <w:t xml:space="preserve"> </w:t>
      </w:r>
      <w:r>
        <w:t xml:space="preserve">and</w:t>
      </w:r>
      <w:r>
        <w:t xml:space="preserve"> </w:t>
      </w:r>
      <w:r>
        <w:rPr>
          <w:b/>
          <w:bCs/>
        </w:rPr>
        <w:t xml:space="preserve">QGIS</w:t>
      </w:r>
      <w:r>
        <w:t xml:space="preserve"> </w:t>
      </w:r>
      <w:r>
        <w:t xml:space="preserve">(</w:t>
      </w:r>
      <w:hyperlink w:anchor="ref-muenchow2017rqgis">
        <w:r>
          <w:rPr>
            <w:rStyle w:val="Hyperlink"/>
          </w:rPr>
          <w:t xml:space="preserve">Muenchow, Schratz, and Brenning 2017</w:t>
        </w:r>
      </w:hyperlink>
      <w:r>
        <w:t xml:space="preserve">)</w:t>
      </w:r>
      <w:r>
        <w:t xml:space="preserve">, while tables were formatted using</w:t>
      </w:r>
      <w:r>
        <w:t xml:space="preserve"> </w:t>
      </w:r>
      <w:r>
        <w:rPr>
          <w:b/>
          <w:bCs/>
        </w:rPr>
        <w:t xml:space="preserve">kableExtra</w:t>
      </w:r>
      <w:r>
        <w:t xml:space="preserve"> </w:t>
      </w:r>
      <w:r>
        <w:t xml:space="preserve">(</w:t>
      </w:r>
      <w:hyperlink w:anchor="ref-zhu2024kableextra">
        <w:r>
          <w:rPr>
            <w:rStyle w:val="Hyperlink"/>
          </w:rPr>
          <w:t xml:space="preserve">Zhu 2024</w:t>
        </w:r>
      </w:hyperlink>
      <w:r>
        <w:t xml:space="preserve">)</w:t>
      </w:r>
      <w:r>
        <w:t xml:space="preserve"> </w:t>
      </w:r>
      <w:r>
        <w:t xml:space="preserve">and</w:t>
      </w:r>
      <w:r>
        <w:t xml:space="preserve"> </w:t>
      </w:r>
      <w:r>
        <w:rPr>
          <w:b/>
          <w:bCs/>
        </w:rPr>
        <w:t xml:space="preserve">gt</w:t>
      </w:r>
      <w:r>
        <w:t xml:space="preserve"> </w:t>
      </w:r>
      <w:r>
        <w:t xml:space="preserve">(</w:t>
      </w:r>
      <w:hyperlink w:anchor="ref-gt">
        <w:r>
          <w:rPr>
            <w:rStyle w:val="Hyperlink"/>
          </w:rPr>
          <w:t xml:space="preserve">Iannone et al. 2025</w:t>
        </w:r>
      </w:hyperlink>
      <w:r>
        <w:t xml:space="preserve">)</w:t>
      </w:r>
      <w:r>
        <w:t xml:space="preserve">. This report was authored using</w:t>
      </w:r>
      <w:r>
        <w:t xml:space="preserve"> </w:t>
      </w:r>
      <w:r>
        <w:rPr>
          <w:b/>
          <w:bCs/>
        </w:rPr>
        <w:t xml:space="preserve">Quarto</w:t>
      </w:r>
      <w:r>
        <w:t xml:space="preserve"> </w:t>
      </w:r>
      <w:r>
        <w:t xml:space="preserve">within the</w:t>
      </w:r>
      <w:r>
        <w:t xml:space="preserve"> </w:t>
      </w:r>
      <w:r>
        <w:rPr>
          <w:b/>
          <w:bCs/>
        </w:rPr>
        <w:t xml:space="preserve">Positron IDE</w:t>
      </w:r>
      <w:r>
        <w:t xml:space="preserve">.</w:t>
      </w:r>
    </w:p>
    <w:bookmarkEnd w:id="48"/>
    <w:bookmarkEnd w:id="49"/>
    <w:bookmarkStart w:id="100" w:name="sec-results"/>
    <w:p>
      <w:pPr>
        <w:pStyle w:val="Heading1"/>
      </w:pPr>
      <w:r>
        <w:t xml:space="preserve">3. Results</w:t>
      </w:r>
    </w:p>
    <w:bookmarkStart w:id="74" w:name="sec-unguja"/>
    <w:p>
      <w:pPr>
        <w:pStyle w:val="Heading2"/>
      </w:pPr>
      <w:r>
        <w:t xml:space="preserve">3.1 Unguja North</w:t>
      </w:r>
    </w:p>
    <w:p>
      <w:pPr>
        <w:pStyle w:val="FirstParagraph"/>
      </w:pPr>
    </w:p>
    <w:bookmarkStart w:id="55" w:name="sec-unguja-substrate"/>
    <w:p>
      <w:pPr>
        <w:pStyle w:val="Heading3"/>
      </w:pPr>
      <w:r>
        <w:t xml:space="preserve">3.1.1 Benthic Substrate Composition</w:t>
      </w:r>
    </w:p>
    <w:p>
      <w:pPr>
        <w:pStyle w:val="FirstParagraph"/>
      </w:pPr>
    </w:p>
    <w:p>
      <w:pPr>
        <w:pStyle w:val="BodyText"/>
      </w:pPr>
      <w:r>
        <w:t xml:space="preserve">Benthic substrate composition varied considerably among the four Unguja North sites (</w:t>
      </w:r>
      <w:hyperlink w:anchor="tbl-substrate-unguja">
        <w:r>
          <w:rPr>
            <w:rStyle w:val="Hyperlink"/>
          </w:rPr>
          <w:t xml:space="preserve">Table 3</w:t>
        </w:r>
      </w:hyperlink>
      <w:r>
        <w:t xml:space="preserve">). Live hard coral cover was highest at</w:t>
      </w:r>
      <w:r>
        <w:t xml:space="preserve"> </w:t>
      </w:r>
      <w:r>
        <w:rPr>
          <w:b/>
          <w:bCs/>
        </w:rPr>
        <w:t xml:space="preserve">Mayale</w:t>
      </w:r>
      <w:r>
        <w:t xml:space="preserve"> </w:t>
      </w:r>
      <w:r>
        <w:t xml:space="preserve">(26.2%) and</w:t>
      </w:r>
      <w:r>
        <w:t xml:space="preserve"> </w:t>
      </w:r>
      <w:r>
        <w:rPr>
          <w:b/>
          <w:bCs/>
        </w:rPr>
        <w:t xml:space="preserve">Chumani</w:t>
      </w:r>
      <w:r>
        <w:t xml:space="preserve"> </w:t>
      </w:r>
      <w:r>
        <w:t xml:space="preserve">(23.8%), while the sites</w:t>
      </w:r>
      <w:r>
        <w:t xml:space="preserve"> </w:t>
      </w:r>
      <w:r>
        <w:rPr>
          <w:b/>
          <w:bCs/>
        </w:rPr>
        <w:t xml:space="preserve">Mwamba Mrefu</w:t>
      </w:r>
      <w:r>
        <w:t xml:space="preserve"> </w:t>
      </w:r>
      <w:r>
        <w:t xml:space="preserve">and</w:t>
      </w:r>
      <w:r>
        <w:t xml:space="preserve"> </w:t>
      </w:r>
      <w:r>
        <w:rPr>
          <w:b/>
          <w:bCs/>
        </w:rPr>
        <w:t xml:space="preserve">Chama Kangu</w:t>
      </w:r>
      <w:r>
        <w:t xml:space="preserve"> </w:t>
      </w:r>
      <w:r>
        <w:t xml:space="preserve">recorded significantly lower hard coral cover at 8.8% and 5.0% respectively. Algal dominance was most pronounced at</w:t>
      </w:r>
      <w:r>
        <w:t xml:space="preserve"> </w:t>
      </w:r>
      <w:r>
        <w:rPr>
          <w:b/>
          <w:bCs/>
        </w:rPr>
        <w:t xml:space="preserve">Chama Kangu</w:t>
      </w:r>
      <w:r>
        <w:t xml:space="preserve">, with macroalgae (41.2%) and turf algae (35.0%) constituting the majority of the benthos, indicating a severe phase shift.</w:t>
      </w:r>
      <w:r>
        <w:t xml:space="preserve"> </w:t>
      </w:r>
      <w:r>
        <w:rPr>
          <w:b/>
          <w:bCs/>
        </w:rPr>
        <w:t xml:space="preserve">Mwamba Mrefu</w:t>
      </w:r>
      <w:r>
        <w:t xml:space="preserve"> </w:t>
      </w:r>
      <w:r>
        <w:t xml:space="preserve">also exhibited high macroalgal cover (32.5%), though it supported considerable soft coral communities (20.0%). Notably,</w:t>
      </w:r>
      <w:r>
        <w:t xml:space="preserve"> </w:t>
      </w:r>
      <w:r>
        <w:rPr>
          <w:b/>
          <w:bCs/>
        </w:rPr>
        <w:t xml:space="preserve">Mayale</w:t>
      </w:r>
      <w:r>
        <w:t xml:space="preserve"> </w:t>
      </w:r>
      <w:r>
        <w:t xml:space="preserve">was characterised by extensive sand cover (46.2%), while</w:t>
      </w:r>
      <w:r>
        <w:t xml:space="preserve"> </w:t>
      </w:r>
      <w:r>
        <w:rPr>
          <w:b/>
          <w:bCs/>
        </w:rPr>
        <w:t xml:space="preserve">Chumani</w:t>
      </w:r>
      <w:r>
        <w:t xml:space="preserve"> </w:t>
      </w:r>
      <w:r>
        <w:t xml:space="preserve">showed a diverse composition including 18.8% soft coral and 11.2% rubble. The major categories are shown in</w:t>
      </w:r>
      <w:r>
        <w:t xml:space="preserve"> </w:t>
      </w:r>
      <w:hyperlink w:anchor="fig-substrate-unguja">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tbl-substrate-unguja"/>
          <w:p>
            <w:pPr>
              <w:jc w:val="center"/>
            </w:pPr>
            <w:pPr>
              <w:jc w:val="start"/>
              <w:spacing w:before="200"/>
              <w:pStyle w:val="ImageCaption"/>
            </w:pPr>
            <w:r>
              <w:t xml:space="preserve">Table 3: Percentage cover of benthic substrate across survey locations in Unguja North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default">Percentage Cover</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Substrate</w:t>
                  </w:r>
                </w:p>
              </w:tc>
              <w:tc>
                <w:tcPr>
                  <w:tcBorders>
                    <w:bottom w:val="single" w:sz="16" w:space="0" w:color="D3D3D3"/>
                  </w:tcBorders>
                </w:tcPr>
                <w:p>
                  <w:pPr>
                    <w:spacing w:before="0" w:after="60"/>
                    <w:keepNext/>
                    <w:jc w:val="center"/>
                  </w:pPr>
                  <w:r>
                    <w:rPr>
                      <w:rFonts w:ascii="Calibri" w:hAnsi="Calibri"/>
                      <w:sz w:val="20"/>
                    </w:rPr>
                    <w:t xml:space="default">Chama Kangu</w:t>
                  </w:r>
                </w:p>
              </w:tc>
              <w:tc>
                <w:tcPr>
                  <w:tcBorders>
                    <w:bottom w:val="single" w:sz="16" w:space="0" w:color="D3D3D3"/>
                  </w:tcBorders>
                </w:tcPr>
                <w:p>
                  <w:pPr>
                    <w:spacing w:before="0" w:after="60"/>
                    <w:keepNext/>
                    <w:jc w:val="center"/>
                  </w:pPr>
                  <w:r>
                    <w:rPr>
                      <w:rFonts w:ascii="Calibri" w:hAnsi="Calibri"/>
                      <w:sz w:val="20"/>
                    </w:rPr>
                    <w:t xml:space="default">Chumani</w:t>
                  </w:r>
                </w:p>
              </w:tc>
              <w:tc>
                <w:tcPr>
                  <w:tcBorders>
                    <w:bottom w:val="single" w:sz="16" w:space="0" w:color="D3D3D3"/>
                  </w:tcBorders>
                </w:tcPr>
                <w:p>
                  <w:pPr>
                    <w:spacing w:before="0" w:after="60"/>
                    <w:keepNext/>
                    <w:jc w:val="center"/>
                  </w:pPr>
                  <w:r>
                    <w:rPr>
                      <w:rFonts w:ascii="Calibri" w:hAnsi="Calibri"/>
                      <w:sz w:val="20"/>
                    </w:rPr>
                    <w:t xml:space="default">Mayale</w:t>
                  </w:r>
                </w:p>
              </w:tc>
              <w:tc>
                <w:tcPr>
                  <w:tcBorders>
                    <w:bottom w:val="single" w:sz="16" w:space="0" w:color="D3D3D3"/>
                    <w:end w:val="single" w:space="0" w:color="D3D3D3"/>
                  </w:tcBorders>
                </w:tcPr>
                <w:p>
                  <w:pPr>
                    <w:spacing w:before="0" w:after="60"/>
                    <w:keepNext/>
                    <w:jc w:val="center"/>
                  </w:pPr>
                  <w:r>
                    <w:rPr>
                      <w:rFonts w:ascii="Calibri" w:hAnsi="Calibri"/>
                      <w:sz w:val="20"/>
                    </w:rPr>
                    <w:t xml:space="default">Mwamba Mrefu</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Sand</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7.5</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center"/>
                  </w:pPr>
                  <w:r>
                    <w:rPr>
                      <w:rFonts w:ascii="Calibri" w:hAnsi="Calibri"/>
                      <w:sz w:val="20"/>
                      <w:color w:val="000000"/>
                    </w:rPr>
                    <w:t xml:space="default">8.8</w:t>
                  </w:r>
                </w:p>
              </w:tc>
              <w:tc>
                <w:tcPr>
                  <w:tcBorders>
                    <w:top w:val="single" w:space="0" w:color="D3D3D3"/>
                    <w:bottom w:val="single" w:space="0" w:color="D3D3D3"/>
                    <w:start w:val="single" w:space="0" w:color="D3D3D3"/>
                    <w:end w:val="single" w:space="0" w:color="D3D3D3"/>
                  </w:tcBorders>
                  <w:shd w:val="clear" w:color="auto" w:fill="A50F15"/>
                </w:tcPr>
                <w:p>
                  <w:pPr>
                    <w:spacing w:before="0" w:after="60"/>
                    <w:keepNext/>
                    <w:jc w:val="center"/>
                  </w:pPr>
                  <w:r>
                    <w:rPr>
                      <w:rFonts w:ascii="Calibri" w:hAnsi="Calibri"/>
                      <w:sz w:val="20"/>
                      <w:color w:val="FFFFFF"/>
                    </w:rPr>
                    <w:t xml:space="default">46.2</w:t>
                  </w:r>
                </w:p>
              </w:tc>
              <w:tc>
                <w:tcPr>
                  <w:tcBorders>
                    <w:top w:val="single" w:space="0" w:color="D3D3D3"/>
                    <w:bottom w:val="single" w:space="0" w:color="D3D3D3"/>
                    <w:start w:val="single" w:space="0" w:color="D3D3D3"/>
                    <w:end w:val="single" w:space="0" w:color="D3D3D3"/>
                  </w:tcBorders>
                  <w:shd w:val="clear" w:color="auto" w:fill="EF3B2C"/>
                </w:tcPr>
                <w:p>
                  <w:pPr>
                    <w:spacing w:before="0" w:after="60"/>
                    <w:keepNext/>
                    <w:jc w:val="center"/>
                  </w:pPr>
                  <w:r>
                    <w:rPr>
                      <w:rFonts w:ascii="Calibri" w:hAnsi="Calibri"/>
                      <w:sz w:val="20"/>
                      <w:color w:val="FFFFFF"/>
                    </w:rPr>
                    <w:t xml:space="default">17.5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 hard coral</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5.0</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23.8</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26.2</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Turf algae</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35.0</w:t>
                  </w:r>
                </w:p>
              </w:tc>
              <w:tc>
                <w:tcPr>
                  <w:tcBorders>
                    <w:top w:val="single" w:space="0" w:color="D3D3D3"/>
                    <w:bottom w:val="single" w:space="0" w:color="D3D3D3"/>
                    <w:start w:val="single" w:space="0" w:color="D3D3D3"/>
                    <w:end w:val="single" w:space="0" w:color="D3D3D3"/>
                  </w:tcBorders>
                  <w:shd w:val="clear" w:color="auto" w:fill="A50F15"/>
                </w:tcPr>
                <w:p>
                  <w:pPr>
                    <w:spacing w:before="0" w:after="60"/>
                    <w:keepNext/>
                    <w:jc w:val="center"/>
                  </w:pPr>
                  <w:r>
                    <w:rPr>
                      <w:rFonts w:ascii="Calibri" w:hAnsi="Calibri"/>
                      <w:sz w:val="20"/>
                      <w:color w:val="FFFFFF"/>
                    </w:rPr>
                    <w:t xml:space="default">33.8</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12.5</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center"/>
                  </w:pPr>
                  <w:r>
                    <w:rPr>
                      <w:rFonts w:ascii="Calibri" w:hAnsi="Calibri"/>
                      <w:sz w:val="20"/>
                      <w:color w:val="000000"/>
                    </w:rPr>
                    <w:t xml:space="default">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Bare rock</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6.2</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Dead coral</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center"/>
                  </w:pPr>
                  <w:r>
                    <w:rPr>
                      <w:rFonts w:ascii="Calibri" w:hAnsi="Calibri"/>
                      <w:sz w:val="20"/>
                      <w:color w:val="000000"/>
                    </w:rPr>
                    <w:t xml:space="default">2.5</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3.8</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center"/>
                  </w:pPr>
                  <w:r>
                    <w:rPr>
                      <w:rFonts w:ascii="Calibri" w:hAnsi="Calibri"/>
                      <w:sz w:val="20"/>
                      <w:color w:val="000000"/>
                    </w:rPr>
                    <w:t xml:space="default">2.5</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 coral</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18.8</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center"/>
                  </w:pPr>
                  <w:r>
                    <w:rPr>
                      <w:rFonts w:ascii="Calibri" w:hAnsi="Calibri"/>
                      <w:sz w:val="20"/>
                      <w:color w:val="000000"/>
                    </w:rPr>
                    <w:t xml:space="default">2.5</w:t>
                  </w:r>
                </w:p>
              </w:tc>
              <w:tc>
                <w:tcPr>
                  <w:tcBorders>
                    <w:top w:val="single" w:space="0" w:color="D3D3D3"/>
                    <w:bottom w:val="single" w:space="0" w:color="D3D3D3"/>
                    <w:start w:val="single" w:space="0" w:color="D3D3D3"/>
                    <w:end w:val="single" w:space="0" w:color="D3D3D3"/>
                  </w:tcBorders>
                  <w:shd w:val="clear" w:color="auto" w:fill="CB181D"/>
                </w:tcPr>
                <w:p>
                  <w:pPr>
                    <w:spacing w:before="0" w:after="60"/>
                    <w:keepNext/>
                    <w:jc w:val="center"/>
                  </w:pPr>
                  <w:r>
                    <w:rPr>
                      <w:rFonts w:ascii="Calibri" w:hAnsi="Calibri"/>
                      <w:sz w:val="20"/>
                      <w:color w:val="FFFFFF"/>
                    </w:rPr>
                    <w:t xml:space="default">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Coraline algae</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center"/>
                  </w:pPr>
                  <w:r>
                    <w:rPr>
                      <w:rFonts w:ascii="Calibri" w:hAnsi="Calibri"/>
                      <w:sz w:val="20"/>
                      <w:color w:val="000000"/>
                    </w:rPr>
                    <w:t xml:space="default">2.5</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Macroalgae</w:t>
                  </w:r>
                </w:p>
              </w:tc>
              <w:tc>
                <w:tcPr>
                  <w:tcBorders>
                    <w:top w:val="single" w:space="0" w:color="D3D3D3"/>
                    <w:bottom w:val="single" w:space="0" w:color="D3D3D3"/>
                    <w:start w:val="single" w:space="0" w:color="D3D3D3"/>
                    <w:end w:val="single" w:space="0" w:color="D3D3D3"/>
                  </w:tcBorders>
                  <w:shd w:val="clear" w:color="auto" w:fill="A50F15"/>
                </w:tcPr>
                <w:p>
                  <w:pPr>
                    <w:spacing w:before="0" w:after="60"/>
                    <w:keepNext/>
                    <w:jc w:val="center"/>
                  </w:pPr>
                  <w:r>
                    <w:rPr>
                      <w:rFonts w:ascii="Calibri" w:hAnsi="Calibri"/>
                      <w:sz w:val="20"/>
                      <w:color w:val="FFFFFF"/>
                    </w:rPr>
                    <w:t xml:space="default">41.2</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1.2</w:t>
                  </w:r>
                </w:p>
              </w:tc>
              <w:tc>
                <w:tcPr>
                  <w:tcBorders>
                    <w:top w:val="single" w:space="0" w:color="D3D3D3"/>
                    <w:bottom w:val="single" w:space="0" w:color="D3D3D3"/>
                    <w:start w:val="single" w:space="0" w:color="D3D3D3"/>
                    <w:end w:val="single" w:space="0" w:color="D3D3D3"/>
                  </w:tcBorders>
                  <w:shd w:val="clear" w:color="auto" w:fill="99000D"/>
                </w:tcPr>
                <w:p>
                  <w:pPr>
                    <w:spacing w:before="0" w:after="60"/>
                    <w:keepNext/>
                    <w:jc w:val="center"/>
                  </w:pPr>
                  <w:r>
                    <w:rPr>
                      <w:rFonts w:ascii="Calibri" w:hAnsi="Calibri"/>
                      <w:sz w:val="20"/>
                      <w:color w:val="FFFFFF"/>
                    </w:rPr>
                    <w:t xml:space="default">32.5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Rubble</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1.2</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11.2</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Seagrass</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7.5</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Sponge</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2.5</w:t>
                  </w:r>
                </w:p>
              </w:tc>
            </w:tr>
          </w:tbl>
          <w:bookmarkEnd w:id="50"/>
        </w:tc>
      </w:tr>
    </w:tbl>
    <w:tbl>
      <w:tblPr>
        <w:tblStyle w:val="Table"/>
        <w:tblW w:type="pct" w:w="5000"/>
        <w:tblLayout w:type="fixed"/>
        <w:tblLook w:firstRow="0" w:lastRow="0" w:firstColumn="0" w:lastColumn="0" w:noHBand="0" w:noVBand="0" w:val="0000"/>
      </w:tblPr>
      <w:tblGrid>
        <w:gridCol w:w="7920"/>
      </w:tblGrid>
      <w:tr>
        <w:tc>
          <w:tcPr/>
          <w:bookmarkStart w:id="54" w:name="fig-substrate-unguja"/>
          <w:p>
            <w:pPr>
              <w:pStyle w:val="Compact"/>
              <w:jc w:val="center"/>
            </w:pPr>
            <w:r>
              <w:drawing>
                <wp:inline>
                  <wp:extent cx="4620126" cy="3234088"/>
                  <wp:effectExtent b="0" l="0" r="0" t="0"/>
                  <wp:docPr descr="" title="" id="52" name="Picture"/>
                  <a:graphic>
                    <a:graphicData uri="http://schemas.openxmlformats.org/drawingml/2006/picture">
                      <pic:pic>
                        <pic:nvPicPr>
                          <pic:cNvPr descr="coral_reef_assessment_reportDraft1_files/figure-docx/fig-substrate-unguja-1.png" id="53" name="Picture"/>
                          <pic:cNvPicPr>
                            <a:picLocks noChangeArrowheads="1" noChangeAspect="1"/>
                          </pic:cNvPicPr>
                        </pic:nvPicPr>
                        <pic:blipFill>
                          <a:blip r:embed="rId51"/>
                          <a:stretch>
                            <a:fillRect/>
                          </a:stretch>
                        </pic:blipFill>
                        <pic:spPr bwMode="auto">
                          <a:xfrm>
                            <a:off x="0" y="0"/>
                            <a:ext cx="4620126" cy="32340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Major benthic substrate composition (% cover) at the four Unguja North sites.</w:t>
            </w:r>
          </w:p>
          <w:bookmarkEnd w:id="54"/>
        </w:tc>
      </w:tr>
    </w:tbl>
    <w:bookmarkEnd w:id="55"/>
    <w:bookmarkStart w:id="61" w:name="sec-unguja-fish"/>
    <w:p>
      <w:pPr>
        <w:pStyle w:val="Heading3"/>
      </w:pPr>
      <w:r>
        <w:t xml:space="preserve">3.1.2 Fish Biomass</w:t>
      </w:r>
    </w:p>
    <w:p>
      <w:pPr>
        <w:pStyle w:val="FirstParagraph"/>
      </w:pPr>
    </w:p>
    <w:p>
      <w:pPr>
        <w:pStyle w:val="BodyText"/>
      </w:pPr>
      <w:r>
        <w:t xml:space="preserve">Fish assemblages in Unguja North exhibited significant spatial variability in both density and composition (</w:t>
      </w:r>
      <w:hyperlink w:anchor="tbl-fish-density-unguja">
        <w:r>
          <w:rPr>
            <w:rStyle w:val="Hyperlink"/>
          </w:rPr>
          <w:t xml:space="preserve">Table 4</w:t>
        </w:r>
      </w:hyperlink>
      <w:r>
        <w:t xml:space="preserve">).</w:t>
      </w:r>
      <w:r>
        <w:t xml:space="preserve"> </w:t>
      </w:r>
      <w:r>
        <w:rPr>
          <w:b/>
          <w:bCs/>
        </w:rPr>
        <w:t xml:space="preserve">Chama Kangu</w:t>
      </w:r>
      <w:r>
        <w:t xml:space="preserve"> </w:t>
      </w:r>
      <w:r>
        <w:t xml:space="preserve">recorded the highest overall fish densities, dominated by Haemulidae (90.0 individuals per 100 m</w:t>
      </w:r>
      <w:r>
        <w:rPr>
          <w:vertAlign w:val="superscript"/>
        </w:rPr>
        <w:t xml:space="preserve">2</w:t>
      </w:r>
      <w:r>
        <w:t xml:space="preserve">) and Caesionidae (28.0 individuals per 100 m</w:t>
      </w:r>
      <w:r>
        <w:rPr>
          <w:vertAlign w:val="superscript"/>
        </w:rPr>
        <w:t xml:space="preserve">2</w:t>
      </w:r>
      <w:r>
        <w:t xml:space="preserve">). In contrast,</w:t>
      </w:r>
      <w:r>
        <w:t xml:space="preserve"> </w:t>
      </w:r>
      <w:r>
        <w:rPr>
          <w:b/>
          <w:bCs/>
        </w:rPr>
        <w:t xml:space="preserve">Mwamba Mrefu</w:t>
      </w:r>
      <w:r>
        <w:t xml:space="preserve"> </w:t>
      </w:r>
      <w:r>
        <w:t xml:space="preserve">showed much lower densities, with Pomacentridae (13.0 individuals per 100 m</w:t>
      </w:r>
      <w:r>
        <w:rPr>
          <w:vertAlign w:val="superscript"/>
        </w:rPr>
        <w:t xml:space="preserve">2</w:t>
      </w:r>
      <w:r>
        <w:t xml:space="preserve">) being the most prevalent group.</w:t>
      </w:r>
      <w:r>
        <w:t xml:space="preserve"> </w:t>
      </w:r>
      <w:r>
        <w:rPr>
          <w:b/>
          <w:bCs/>
        </w:rPr>
        <w:t xml:space="preserve">Chumani</w:t>
      </w:r>
      <w:r>
        <w:t xml:space="preserve"> </w:t>
      </w:r>
      <w:r>
        <w:t xml:space="preserve">was characterized by a high density of Lethrinidae (9.2 individuals per 100 m</w:t>
      </w:r>
      <w:r>
        <w:rPr>
          <w:vertAlign w:val="superscript"/>
        </w:rPr>
        <w:t xml:space="preserve">2</w:t>
      </w:r>
      <w:r>
        <w:t xml:space="preserve">), while</w:t>
      </w:r>
      <w:r>
        <w:t xml:space="preserve"> </w:t>
      </w:r>
      <w:r>
        <w:rPr>
          <w:b/>
          <w:bCs/>
        </w:rPr>
        <w:t xml:space="preserve">Mayale</w:t>
      </w:r>
      <w:r>
        <w:t xml:space="preserve"> </w:t>
      </w:r>
      <w:r>
        <w:t xml:space="preserve">supported a more even distribution of Lutjanidae (9.0 individuals per 100 m</w:t>
      </w:r>
      <w:r>
        <w:rPr>
          <w:vertAlign w:val="superscript"/>
        </w:rPr>
        <w:t xml:space="preserve">2</w:t>
      </w:r>
      <w:r>
        <w:t xml:space="preserve">) and Nemipteridae (4.0 individuals per 100 m</w:t>
      </w:r>
      <w:r>
        <w:rPr>
          <w:vertAlign w:val="superscript"/>
        </w:rPr>
        <w:t xml:space="preserve">2</w:t>
      </w:r>
      <w:r>
        <w:t xml:space="preserve">). These patterns suggest that while some sites maintain high abundance of schooling invertivores and planktivores, others like Mwamba Mrefu are significantly more depleted.</w:t>
      </w:r>
    </w:p>
    <w:tbl>
      <w:tblPr>
        <w:tblStyle w:val="Table"/>
        <w:tblW w:type="pct" w:w="5000"/>
        <w:tblLayout w:type="fixed"/>
        <w:tblLook w:firstRow="0" w:lastRow="0" w:firstColumn="0" w:lastColumn="0" w:noHBand="0" w:noVBand="0" w:val="0000"/>
      </w:tblPr>
      <w:tblGrid>
        <w:gridCol w:w="7920"/>
      </w:tblGrid>
      <w:tr>
        <w:tc>
          <w:tcPr/>
          <w:bookmarkStart w:id="56" w:name="tbl-fish-density-unguja"/>
          <w:p>
            <w:pPr>
              <w:jc w:val="center"/>
            </w:pPr>
            <w:pPr>
              <w:jc w:val="start"/>
              <w:spacing w:before="200"/>
              <w:pStyle w:val="ImageCaption"/>
            </w:pPr>
            <w:r>
              <w:t xml:space="preserve">Table 4: Median fish density (individuals per 100 m</w:t>
            </w:r>
            <w:r>
              <w:rPr>
                <w:vertAlign w:val="superscript"/>
              </w:rPr>
              <w:t xml:space="preserve">2</w:t>
            </w:r>
            <w:r>
              <w:t xml:space="preserve">) by family across the surveyed reefs in Unguja North.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preserve">Fish Density (individuals per 100m^2^)</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Family</w:t>
                  </w:r>
                </w:p>
              </w:tc>
              <w:tc>
                <w:tcPr>
                  <w:tcBorders>
                    <w:bottom w:val="single" w:sz="16" w:space="0" w:color="D3D3D3"/>
                  </w:tcBorders>
                </w:tcPr>
                <w:p>
                  <w:pPr>
                    <w:spacing w:before="0" w:after="60"/>
                    <w:keepNext/>
                    <w:jc w:val="center"/>
                  </w:pPr>
                  <w:r>
                    <w:rPr>
                      <w:rFonts w:ascii="Calibri" w:hAnsi="Calibri"/>
                      <w:sz w:val="20"/>
                    </w:rPr>
                    <w:t xml:space="default">Chama Kangu</w:t>
                  </w:r>
                </w:p>
              </w:tc>
              <w:tc>
                <w:tcPr>
                  <w:tcBorders>
                    <w:bottom w:val="single" w:sz="16" w:space="0" w:color="D3D3D3"/>
                  </w:tcBorders>
                </w:tcPr>
                <w:p>
                  <w:pPr>
                    <w:spacing w:before="0" w:after="60"/>
                    <w:keepNext/>
                    <w:jc w:val="center"/>
                  </w:pPr>
                  <w:r>
                    <w:rPr>
                      <w:rFonts w:ascii="Calibri" w:hAnsi="Calibri"/>
                      <w:sz w:val="20"/>
                    </w:rPr>
                    <w:t xml:space="default">Chumani</w:t>
                  </w:r>
                </w:p>
              </w:tc>
              <w:tc>
                <w:tcPr>
                  <w:tcBorders>
                    <w:bottom w:val="single" w:sz="16" w:space="0" w:color="D3D3D3"/>
                  </w:tcBorders>
                </w:tcPr>
                <w:p>
                  <w:pPr>
                    <w:spacing w:before="0" w:after="60"/>
                    <w:keepNext/>
                    <w:jc w:val="center"/>
                  </w:pPr>
                  <w:r>
                    <w:rPr>
                      <w:rFonts w:ascii="Calibri" w:hAnsi="Calibri"/>
                      <w:sz w:val="20"/>
                    </w:rPr>
                    <w:t xml:space="default">Mayale</w:t>
                  </w:r>
                </w:p>
              </w:tc>
              <w:tc>
                <w:tcPr>
                  <w:tcBorders>
                    <w:bottom w:val="single" w:sz="16" w:space="0" w:color="D3D3D3"/>
                    <w:end w:val="single" w:space="0" w:color="D3D3D3"/>
                  </w:tcBorders>
                </w:tcPr>
                <w:p>
                  <w:pPr>
                    <w:spacing w:before="0" w:after="60"/>
                    <w:keepNext/>
                    <w:jc w:val="center"/>
                  </w:pPr>
                  <w:r>
                    <w:rPr>
                      <w:rFonts w:ascii="Calibri" w:hAnsi="Calibri"/>
                      <w:sz w:val="20"/>
                    </w:rPr>
                    <w:t xml:space="default">Mwamba Mrefu</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Haemulidae</w:t>
                  </w:r>
                </w:p>
              </w:tc>
              <w:tc>
                <w:tcPr>
                  <w:tcBorders>
                    <w:top w:val="single" w:space="0" w:color="D3D3D3"/>
                    <w:bottom w:val="single" w:space="0" w:color="D3D3D3"/>
                    <w:start w:val="single" w:space="0" w:color="D3D3D3"/>
                    <w:end w:val="single" w:space="0" w:color="D3D3D3"/>
                  </w:tcBorders>
                  <w:shd w:val="clear" w:color="auto" w:fill="67000D"/>
                </w:tcPr>
                <w:p>
                  <w:pPr>
                    <w:spacing w:before="0" w:after="60"/>
                    <w:keepNext/>
                    <w:jc w:val="center"/>
                  </w:pPr>
                  <w:r>
                    <w:rPr>
                      <w:rFonts w:ascii="Calibri" w:hAnsi="Calibri"/>
                      <w:sz w:val="20"/>
                      <w:color w:val="FFFFFF"/>
                    </w:rPr>
                    <w:t xml:space="default">90.0</w:t>
                  </w:r>
                </w:p>
              </w:tc>
              <w:tc>
                <w:tcPr>
                  <w:tcBorders>
                    <w:top w:val="single" w:space="0" w:color="D3D3D3"/>
                    <w:bottom w:val="single" w:space="0" w:color="D3D3D3"/>
                    <w:start w:val="single" w:space="0" w:color="D3D3D3"/>
                    <w:end w:val="single" w:space="0" w:color="D3D3D3"/>
                  </w:tcBorders>
                  <w:shd w:val="clear" w:color="auto" w:fill="FC7C5C"/>
                </w:tcPr>
                <w:p>
                  <w:pPr>
                    <w:spacing w:before="0" w:after="60"/>
                    <w:keepNext/>
                    <w:jc w:val="center"/>
                  </w:pPr>
                  <w:r>
                    <w:rPr>
                      <w:rFonts w:ascii="Calibri" w:hAnsi="Calibri"/>
                      <w:sz w:val="20"/>
                      <w:color w:val="FFFFFF"/>
                    </w:rPr>
                    <w:t xml:space="default">2.0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Caesionidae</w:t>
                  </w:r>
                </w:p>
              </w:tc>
              <w:tc>
                <w:tcPr>
                  <w:tcBorders>
                    <w:top w:val="single" w:space="0" w:color="D3D3D3"/>
                    <w:bottom w:val="single" w:space="0" w:color="D3D3D3"/>
                    <w:start w:val="single" w:space="0" w:color="D3D3D3"/>
                    <w:end w:val="single" w:space="0" w:color="D3D3D3"/>
                  </w:tcBorders>
                  <w:shd w:val="clear" w:color="auto" w:fill="900913"/>
                </w:tcPr>
                <w:p>
                  <w:pPr>
                    <w:spacing w:before="0" w:after="60"/>
                    <w:keepNext/>
                    <w:jc w:val="center"/>
                  </w:pPr>
                  <w:r>
                    <w:rPr>
                      <w:rFonts w:ascii="Calibri" w:hAnsi="Calibri"/>
                      <w:sz w:val="20"/>
                      <w:color w:val="FFFFFF"/>
                    </w:rPr>
                    <w:t xml:space="default">28.0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Lutjanidae</w:t>
                  </w:r>
                </w:p>
              </w:tc>
              <w:tc>
                <w:tcPr>
                  <w:tcBorders>
                    <w:top w:val="single" w:space="0" w:color="D3D3D3"/>
                    <w:bottom w:val="single" w:space="0" w:color="D3D3D3"/>
                    <w:start w:val="single" w:space="0" w:color="D3D3D3"/>
                    <w:end w:val="single" w:space="0" w:color="D3D3D3"/>
                  </w:tcBorders>
                  <w:shd w:val="clear" w:color="auto" w:fill="B21218"/>
                </w:tcPr>
                <w:p>
                  <w:pPr>
                    <w:spacing w:before="0" w:after="60"/>
                    <w:keepNext/>
                    <w:jc w:val="center"/>
                  </w:pPr>
                  <w:r>
                    <w:rPr>
                      <w:rFonts w:ascii="Calibri" w:hAnsi="Calibri"/>
                      <w:sz w:val="20"/>
                      <w:color w:val="FFFFFF"/>
                    </w:rPr>
                    <w:t xml:space="default">8.0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center"/>
                  </w:pPr>
                  <w:r>
                    <w:rPr>
                      <w:rFonts w:ascii="Calibri" w:hAnsi="Calibri"/>
                      <w:sz w:val="20"/>
                      <w:color w:val="000000"/>
                    </w:rPr>
                    <w:t xml:space="default">0.4</w:t>
                  </w:r>
                </w:p>
              </w:tc>
              <w:tc>
                <w:tcPr>
                  <w:tcBorders>
                    <w:top w:val="single" w:space="0" w:color="D3D3D3"/>
                    <w:bottom w:val="single" w:space="0" w:color="D3D3D3"/>
                    <w:start w:val="single" w:space="0" w:color="D3D3D3"/>
                    <w:end w:val="single" w:space="0" w:color="D3D3D3"/>
                  </w:tcBorders>
                  <w:shd w:val="clear" w:color="auto" w:fill="67000D"/>
                </w:tcPr>
                <w:p>
                  <w:pPr>
                    <w:spacing w:before="0" w:after="60"/>
                    <w:keepNext/>
                    <w:jc w:val="center"/>
                  </w:pPr>
                  <w:r>
                    <w:rPr>
                      <w:rFonts w:ascii="Calibri" w:hAnsi="Calibri"/>
                      <w:sz w:val="20"/>
                      <w:color w:val="FFFFFF"/>
                    </w:rPr>
                    <w:t xml:space="default">9.0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Pomacentridae</w:t>
                  </w:r>
                </w:p>
              </w:tc>
              <w:tc>
                <w:tcPr>
                  <w:tcBorders>
                    <w:top w:val="single" w:space="0" w:color="D3D3D3"/>
                    <w:bottom w:val="single" w:space="0" w:color="D3D3D3"/>
                    <w:start w:val="single" w:space="0" w:color="D3D3D3"/>
                    <w:end w:val="single" w:space="0" w:color="D3D3D3"/>
                  </w:tcBorders>
                  <w:shd w:val="clear" w:color="auto" w:fill="CB181D"/>
                </w:tcPr>
                <w:p>
                  <w:pPr>
                    <w:spacing w:before="0" w:after="60"/>
                    <w:keepNext/>
                    <w:jc w:val="center"/>
                  </w:pPr>
                  <w:r>
                    <w:rPr>
                      <w:rFonts w:ascii="Calibri" w:hAnsi="Calibri"/>
                      <w:sz w:val="20"/>
                      <w:color w:val="FFFFFF"/>
                    </w:rPr>
                    <w:t xml:space="default">7.0</w:t>
                  </w:r>
                </w:p>
              </w:tc>
              <w:tc>
                <w:tcPr>
                  <w:tcBorders>
                    <w:top w:val="single" w:space="0" w:color="D3D3D3"/>
                    <w:bottom w:val="single" w:space="0" w:color="D3D3D3"/>
                    <w:start w:val="single" w:space="0" w:color="D3D3D3"/>
                    <w:end w:val="single" w:space="0" w:color="D3D3D3"/>
                  </w:tcBorders>
                  <w:shd w:val="clear" w:color="auto" w:fill="9E0D14"/>
                </w:tcPr>
                <w:p>
                  <w:pPr>
                    <w:spacing w:before="0" w:after="60"/>
                    <w:keepNext/>
                    <w:jc w:val="center"/>
                  </w:pPr>
                  <w:r>
                    <w:rPr>
                      <w:rFonts w:ascii="Calibri" w:hAnsi="Calibri"/>
                      <w:sz w:val="20"/>
                      <w:color w:val="FFFFFF"/>
                    </w:rPr>
                    <w:t xml:space="default">3.6</w:t>
                  </w:r>
                </w:p>
              </w:tc>
              <w:tc>
                <w:tcPr>
                  <w:tcBorders>
                    <w:top w:val="single" w:space="0" w:color="D3D3D3"/>
                    <w:bottom w:val="single" w:space="0" w:color="D3D3D3"/>
                    <w:start w:val="single" w:space="0" w:color="D3D3D3"/>
                    <w:end w:val="single" w:space="0" w:color="D3D3D3"/>
                  </w:tcBorders>
                  <w:shd w:val="clear" w:color="auto" w:fill="FC7C5C"/>
                </w:tcPr>
                <w:p>
                  <w:pPr>
                    <w:spacing w:before="0" w:after="60"/>
                    <w:keepNext/>
                    <w:jc w:val="center"/>
                  </w:pPr>
                  <w:r>
                    <w:rPr>
                      <w:rFonts w:ascii="Calibri" w:hAnsi="Calibri"/>
                      <w:sz w:val="20"/>
                      <w:color w:val="FFFFFF"/>
                    </w:rPr>
                    <w:t xml:space="default">2.0</w:t>
                  </w:r>
                </w:p>
              </w:tc>
              <w:tc>
                <w:tcPr>
                  <w:tcBorders>
                    <w:top w:val="single" w:space="0" w:color="D3D3D3"/>
                    <w:bottom w:val="single" w:space="0" w:color="D3D3D3"/>
                    <w:start w:val="single" w:space="0" w:color="D3D3D3"/>
                    <w:end w:val="single" w:space="0" w:color="D3D3D3"/>
                  </w:tcBorders>
                  <w:shd w:val="clear" w:color="auto" w:fill="A50F15"/>
                </w:tcPr>
                <w:p>
                  <w:pPr>
                    <w:spacing w:before="0" w:after="60"/>
                    <w:keepNext/>
                    <w:jc w:val="center"/>
                  </w:pPr>
                  <w:r>
                    <w:rPr>
                      <w:rFonts w:ascii="Calibri" w:hAnsi="Calibri"/>
                      <w:sz w:val="20"/>
                      <w:color w:val="FFFFFF"/>
                    </w:rPr>
                    <w:t xml:space="default">13.0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Holocentridae</w:t>
                  </w:r>
                </w:p>
              </w:tc>
              <w:tc>
                <w:tcPr>
                  <w:tcBorders>
                    <w:top w:val="single" w:space="0" w:color="D3D3D3"/>
                    <w:bottom w:val="single" w:space="0" w:color="D3D3D3"/>
                    <w:start w:val="single" w:space="0" w:color="D3D3D3"/>
                    <w:end w:val="single" w:space="0" w:color="D3D3D3"/>
                  </w:tcBorders>
                  <w:shd w:val="clear" w:color="auto" w:fill="E33127"/>
                </w:tcPr>
                <w:p>
                  <w:pPr>
                    <w:spacing w:before="0" w:after="60"/>
                    <w:keepNext/>
                    <w:jc w:val="center"/>
                  </w:pPr>
                  <w:r>
                    <w:rPr>
                      <w:rFonts w:ascii="Calibri" w:hAnsi="Calibri"/>
                      <w:sz w:val="20"/>
                      <w:color w:val="FFFFFF"/>
                    </w:rPr>
                    <w:t xml:space="default">4.0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Mullidae</w:t>
                  </w:r>
                </w:p>
              </w:tc>
              <w:tc>
                <w:tcPr>
                  <w:tcBorders>
                    <w:top w:val="single" w:space="0" w:color="D3D3D3"/>
                    <w:bottom w:val="single" w:space="0" w:color="D3D3D3"/>
                    <w:start w:val="single" w:space="0" w:color="D3D3D3"/>
                    <w:end w:val="single" w:space="0" w:color="D3D3D3"/>
                  </w:tcBorders>
                  <w:shd w:val="clear" w:color="auto" w:fill="F34D36"/>
                </w:tcPr>
                <w:p>
                  <w:pPr>
                    <w:spacing w:before="0" w:after="60"/>
                    <w:keepNext/>
                    <w:jc w:val="center"/>
                  </w:pPr>
                  <w:r>
                    <w:rPr>
                      <w:rFonts w:ascii="Calibri" w:hAnsi="Calibri"/>
                      <w:sz w:val="20"/>
                      <w:color w:val="FFFFFF"/>
                    </w:rPr>
                    <w:t xml:space="default">3.6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center"/>
                  </w:pPr>
                  <w:r>
                    <w:rPr>
                      <w:rFonts w:ascii="Calibri" w:hAnsi="Calibri"/>
                      <w:sz w:val="20"/>
                      <w:color w:val="000000"/>
                    </w:rPr>
                    <w:t xml:space="default">0.4</w:t>
                  </w:r>
                </w:p>
              </w:tc>
              <w:tc>
                <w:tcPr>
                  <w:tcBorders>
                    <w:top w:val="single" w:space="0" w:color="D3D3D3"/>
                    <w:bottom w:val="single" w:space="0" w:color="D3D3D3"/>
                    <w:start w:val="single" w:space="0" w:color="D3D3D3"/>
                    <w:end w:val="single" w:space="0" w:color="D3D3D3"/>
                  </w:tcBorders>
                  <w:shd w:val="clear" w:color="auto" w:fill="FDC3AC"/>
                </w:tcPr>
                <w:p>
                  <w:pPr>
                    <w:spacing w:before="0" w:after="60"/>
                    <w:keepNext/>
                    <w:jc w:val="center"/>
                  </w:pPr>
                  <w:r>
                    <w:rPr>
                      <w:rFonts w:ascii="Calibri" w:hAnsi="Calibri"/>
                      <w:sz w:val="20"/>
                      <w:color w:val="000000"/>
                    </w:rPr>
                    <w:t xml:space="default">1.2</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Siganidae</w:t>
                  </w:r>
                </w:p>
              </w:tc>
              <w:tc>
                <w:tcPr>
                  <w:tcBorders>
                    <w:top w:val="single" w:space="0" w:color="D3D3D3"/>
                    <w:bottom w:val="single" w:space="0" w:color="D3D3D3"/>
                    <w:start w:val="single" w:space="0" w:color="D3D3D3"/>
                    <w:end w:val="single" w:space="0" w:color="D3D3D3"/>
                  </w:tcBorders>
                  <w:shd w:val="clear" w:color="auto" w:fill="F34D36"/>
                </w:tcPr>
                <w:p>
                  <w:pPr>
                    <w:spacing w:before="0" w:after="60"/>
                    <w:keepNext/>
                    <w:jc w:val="center"/>
                  </w:pPr>
                  <w:r>
                    <w:rPr>
                      <w:rFonts w:ascii="Calibri" w:hAnsi="Calibri"/>
                      <w:sz w:val="20"/>
                      <w:color w:val="FFFFFF"/>
                    </w:rPr>
                    <w:t xml:space="default">3.6</w:t>
                  </w:r>
                </w:p>
              </w:tc>
              <w:tc>
                <w:tcPr>
                  <w:tcBorders>
                    <w:top w:val="single" w:space="0" w:color="D3D3D3"/>
                    <w:bottom w:val="single" w:space="0" w:color="D3D3D3"/>
                    <w:start w:val="single" w:space="0" w:color="D3D3D3"/>
                    <w:end w:val="single" w:space="0" w:color="D3D3D3"/>
                  </w:tcBorders>
                  <w:shd w:val="clear" w:color="auto" w:fill="FDA081"/>
                </w:tcPr>
                <w:p>
                  <w:pPr>
                    <w:spacing w:before="0" w:after="60"/>
                    <w:keepNext/>
                    <w:jc w:val="center"/>
                  </w:pPr>
                  <w:r>
                    <w:rPr>
                      <w:rFonts w:ascii="Calibri" w:hAnsi="Calibri"/>
                      <w:sz w:val="20"/>
                      <w:color w:val="000000"/>
                    </w:rPr>
                    <w:t xml:space="default">1.2</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Aulostomidae</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2.4</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Scaridae</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2.4</w:t>
                  </w:r>
                </w:p>
              </w:tc>
              <w:tc>
                <w:tcPr>
                  <w:tcBorders>
                    <w:top w:val="single" w:space="0" w:color="D3D3D3"/>
                    <w:bottom w:val="single" w:space="0" w:color="D3D3D3"/>
                    <w:start w:val="single" w:space="0" w:color="D3D3D3"/>
                    <w:end w:val="single" w:space="0" w:color="D3D3D3"/>
                  </w:tcBorders>
                  <w:shd w:val="clear" w:color="auto" w:fill="FDC3AC"/>
                </w:tcPr>
                <w:p>
                  <w:pPr>
                    <w:spacing w:before="0" w:after="60"/>
                    <w:keepNext/>
                    <w:jc w:val="center"/>
                  </w:pPr>
                  <w:r>
                    <w:rPr>
                      <w:rFonts w:ascii="Calibri" w:hAnsi="Calibri"/>
                      <w:sz w:val="20"/>
                      <w:color w:val="000000"/>
                    </w:rPr>
                    <w:t xml:space="default">1.0</w:t>
                  </w:r>
                </w:p>
              </w:tc>
              <w:tc>
                <w:tcPr>
                  <w:tcBorders>
                    <w:top w:val="single" w:space="0" w:color="D3D3D3"/>
                    <w:bottom w:val="single" w:space="0" w:color="D3D3D3"/>
                    <w:start w:val="single" w:space="0" w:color="D3D3D3"/>
                    <w:end w:val="single" w:space="0" w:color="D3D3D3"/>
                  </w:tcBorders>
                  <w:shd w:val="clear" w:color="auto" w:fill="E33127"/>
                </w:tcPr>
                <w:p>
                  <w:pPr>
                    <w:spacing w:before="0" w:after="60"/>
                    <w:keepNext/>
                    <w:jc w:val="center"/>
                  </w:pPr>
                  <w:r>
                    <w:rPr>
                      <w:rFonts w:ascii="Calibri" w:hAnsi="Calibri"/>
                      <w:sz w:val="20"/>
                      <w:color w:val="FFFFFF"/>
                    </w:rPr>
                    <w:t xml:space="default">2.8</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Zanclidae</w:t>
                  </w:r>
                </w:p>
              </w:tc>
              <w:tc>
                <w:tcPr>
                  <w:tcBorders>
                    <w:top w:val="single" w:space="0" w:color="D3D3D3"/>
                    <w:bottom w:val="single" w:space="0" w:color="D3D3D3"/>
                    <w:start w:val="single" w:space="0" w:color="D3D3D3"/>
                    <w:end w:val="single" w:space="0" w:color="D3D3D3"/>
                  </w:tcBorders>
                  <w:shd w:val="clear" w:color="auto" w:fill="FC8565"/>
                </w:tcPr>
                <w:p>
                  <w:pPr>
                    <w:spacing w:before="0" w:after="60"/>
                    <w:keepNext/>
                    <w:jc w:val="center"/>
                  </w:pPr>
                  <w:r>
                    <w:rPr>
                      <w:rFonts w:ascii="Calibri" w:hAnsi="Calibri"/>
                      <w:sz w:val="20"/>
                      <w:color w:val="000000"/>
                    </w:rPr>
                    <w:t xml:space="default">2.2</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Acanthuridae</w:t>
                  </w:r>
                </w:p>
              </w:tc>
              <w:tc>
                <w:tcPr>
                  <w:tcBorders>
                    <w:top w:val="single" w:space="0" w:color="D3D3D3"/>
                    <w:bottom w:val="single" w:space="0" w:color="D3D3D3"/>
                    <w:start w:val="single" w:space="0" w:color="D3D3D3"/>
                    <w:end w:val="single" w:space="0" w:color="D3D3D3"/>
                  </w:tcBorders>
                  <w:shd w:val="clear" w:color="auto" w:fill="FDA081"/>
                </w:tcPr>
                <w:p>
                  <w:pPr>
                    <w:spacing w:before="0" w:after="60"/>
                    <w:keepNext/>
                    <w:jc w:val="center"/>
                  </w:pPr>
                  <w:r>
                    <w:rPr>
                      <w:rFonts w:ascii="Calibri" w:hAnsi="Calibri"/>
                      <w:sz w:val="20"/>
                      <w:color w:val="000000"/>
                    </w:rPr>
                    <w:t xml:space="default">2.0</w:t>
                  </w:r>
                </w:p>
              </w:tc>
              <w:tc>
                <w:tcPr>
                  <w:tcBorders>
                    <w:top w:val="single" w:space="0" w:color="D3D3D3"/>
                    <w:bottom w:val="single" w:space="0" w:color="D3D3D3"/>
                    <w:start w:val="single" w:space="0" w:color="D3D3D3"/>
                    <w:end w:val="single" w:space="0" w:color="D3D3D3"/>
                  </w:tcBorders>
                  <w:shd w:val="clear" w:color="auto" w:fill="E33127"/>
                </w:tcPr>
                <w:p>
                  <w:pPr>
                    <w:spacing w:before="0" w:after="60"/>
                    <w:keepNext/>
                    <w:jc w:val="center"/>
                  </w:pPr>
                  <w:r>
                    <w:rPr>
                      <w:rFonts w:ascii="Calibri" w:hAnsi="Calibri"/>
                      <w:sz w:val="20"/>
                      <w:color w:val="FFFFFF"/>
                    </w:rPr>
                    <w:t xml:space="default">2.6</w:t>
                  </w:r>
                </w:p>
              </w:tc>
              <w:tc>
                <w:tcPr>
                  <w:tcBorders>
                    <w:top w:val="single" w:space="0" w:color="D3D3D3"/>
                    <w:bottom w:val="single" w:space="0" w:color="D3D3D3"/>
                    <w:start w:val="single" w:space="0" w:color="D3D3D3"/>
                    <w:end w:val="single" w:space="0" w:color="D3D3D3"/>
                  </w:tcBorders>
                  <w:shd w:val="clear" w:color="auto" w:fill="FDA081"/>
                </w:tcPr>
                <w:p>
                  <w:pPr>
                    <w:spacing w:before="0" w:after="60"/>
                    <w:keepNext/>
                    <w:jc w:val="center"/>
                  </w:pPr>
                  <w:r>
                    <w:rPr>
                      <w:rFonts w:ascii="Calibri" w:hAnsi="Calibri"/>
                      <w:sz w:val="20"/>
                      <w:color w:val="000000"/>
                    </w:rPr>
                    <w:t xml:space="default">1.4</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Tetradontidae</w:t>
                  </w:r>
                </w:p>
              </w:tc>
              <w:tc>
                <w:tcPr>
                  <w:tcBorders>
                    <w:top w:val="single" w:space="0" w:color="D3D3D3"/>
                    <w:bottom w:val="single" w:space="0" w:color="D3D3D3"/>
                    <w:start w:val="single" w:space="0" w:color="D3D3D3"/>
                    <w:end w:val="single" w:space="0" w:color="D3D3D3"/>
                  </w:tcBorders>
                  <w:shd w:val="clear" w:color="auto" w:fill="FDA081"/>
                </w:tcPr>
                <w:p>
                  <w:pPr>
                    <w:spacing w:before="0" w:after="60"/>
                    <w:keepNext/>
                    <w:jc w:val="center"/>
                  </w:pPr>
                  <w:r>
                    <w:rPr>
                      <w:rFonts w:ascii="Calibri" w:hAnsi="Calibri"/>
                      <w:sz w:val="20"/>
                      <w:color w:val="000000"/>
                    </w:rPr>
                    <w:t xml:space="default">2.0</w:t>
                  </w:r>
                </w:p>
              </w:tc>
              <w:tc>
                <w:tcPr>
                  <w:tcBorders>
                    <w:top w:val="single" w:space="0" w:color="D3D3D3"/>
                    <w:bottom w:val="single" w:space="0" w:color="D3D3D3"/>
                    <w:start w:val="single" w:space="0" w:color="D3D3D3"/>
                    <w:end w:val="single" w:space="0" w:color="D3D3D3"/>
                  </w:tcBorders>
                  <w:shd w:val="clear" w:color="auto" w:fill="C2161B"/>
                </w:tcPr>
                <w:p>
                  <w:pPr>
                    <w:spacing w:before="0" w:after="60"/>
                    <w:keepNext/>
                    <w:jc w:val="center"/>
                  </w:pPr>
                  <w:r>
                    <w:rPr>
                      <w:rFonts w:ascii="Calibri" w:hAnsi="Calibri"/>
                      <w:sz w:val="20"/>
                      <w:color w:val="FFFFFF"/>
                    </w:rPr>
                    <w:t xml:space="default">2.8</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center"/>
                  </w:pPr>
                  <w:r>
                    <w:rPr>
                      <w:rFonts w:ascii="Calibri" w:hAnsi="Calibri"/>
                      <w:sz w:val="20"/>
                      <w:color w:val="000000"/>
                    </w:rPr>
                    <w:t xml:space="default">0.8</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Lethrinidae</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center"/>
                  </w:pPr>
                  <w:r>
                    <w:rPr>
                      <w:rFonts w:ascii="Calibri" w:hAnsi="Calibri"/>
                      <w:sz w:val="20"/>
                      <w:color w:val="000000"/>
                    </w:rPr>
                    <w:t xml:space="default">1.2</w:t>
                  </w:r>
                </w:p>
              </w:tc>
              <w:tc>
                <w:tcPr>
                  <w:tcBorders>
                    <w:top w:val="single" w:space="0" w:color="D3D3D3"/>
                    <w:bottom w:val="single" w:space="0" w:color="D3D3D3"/>
                    <w:start w:val="single" w:space="0" w:color="D3D3D3"/>
                    <w:end w:val="single" w:space="0" w:color="D3D3D3"/>
                  </w:tcBorders>
                  <w:shd w:val="clear" w:color="auto" w:fill="67000D"/>
                </w:tcPr>
                <w:p>
                  <w:pPr>
                    <w:spacing w:before="0" w:after="60"/>
                    <w:keepNext/>
                    <w:jc w:val="center"/>
                  </w:pPr>
                  <w:r>
                    <w:rPr>
                      <w:rFonts w:ascii="Calibri" w:hAnsi="Calibri"/>
                      <w:sz w:val="20"/>
                      <w:color w:val="FFFFFF"/>
                    </w:rPr>
                    <w:t xml:space="default">9.2</w:t>
                  </w:r>
                </w:p>
              </w:tc>
              <w:tc>
                <w:tcPr>
                  <w:tcBorders>
                    <w:top w:val="single" w:space="0" w:color="D3D3D3"/>
                    <w:bottom w:val="single" w:space="0" w:color="D3D3D3"/>
                    <w:start w:val="single" w:space="0" w:color="D3D3D3"/>
                    <w:end w:val="single" w:space="0" w:color="D3D3D3"/>
                  </w:tcBorders>
                  <w:shd w:val="clear" w:color="auto" w:fill="FEE2D5"/>
                </w:tcPr>
                <w:p>
                  <w:pPr>
                    <w:spacing w:before="0" w:after="60"/>
                    <w:keepNext/>
                    <w:jc w:val="center"/>
                  </w:pPr>
                  <w:r>
                    <w:rPr>
                      <w:rFonts w:ascii="Calibri" w:hAnsi="Calibri"/>
                      <w:sz w:val="20"/>
                      <w:color w:val="000000"/>
                    </w:rPr>
                    <w:t xml:space="default">1.0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Pomacanthidae</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center"/>
                  </w:pPr>
                  <w:r>
                    <w:rPr>
                      <w:rFonts w:ascii="Calibri" w:hAnsi="Calibri"/>
                      <w:sz w:val="20"/>
                      <w:color w:val="000000"/>
                    </w:rPr>
                    <w:t xml:space="default">1.2</w:t>
                  </w:r>
                </w:p>
              </w:tc>
              <w:tc>
                <w:tcPr>
                  <w:tcBorders>
                    <w:top w:val="single" w:space="0" w:color="D3D3D3"/>
                    <w:bottom w:val="single" w:space="0" w:color="D3D3D3"/>
                    <w:start w:val="single" w:space="0" w:color="D3D3D3"/>
                    <w:end w:val="single" w:space="0" w:color="D3D3D3"/>
                  </w:tcBorders>
                  <w:shd w:val="clear" w:color="auto" w:fill="F6573D"/>
                </w:tcPr>
                <w:p>
                  <w:pPr>
                    <w:spacing w:before="0" w:after="60"/>
                    <w:keepNext/>
                    <w:jc w:val="center"/>
                  </w:pPr>
                  <w:r>
                    <w:rPr>
                      <w:rFonts w:ascii="Calibri" w:hAnsi="Calibri"/>
                      <w:sz w:val="20"/>
                      <w:color w:val="FFFFFF"/>
                    </w:rPr>
                    <w:t xml:space="default">2.4</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Labridae</w:t>
                  </w:r>
                </w:p>
              </w:tc>
              <w:tc>
                <w:tcPr>
                  <w:tcBorders>
                    <w:top w:val="single" w:space="0" w:color="D3D3D3"/>
                    <w:bottom w:val="single" w:space="0" w:color="D3D3D3"/>
                    <w:start w:val="single" w:space="0" w:color="D3D3D3"/>
                    <w:end w:val="single" w:space="0" w:color="D3D3D3"/>
                  </w:tcBorders>
                  <w:shd w:val="clear" w:color="auto" w:fill="FED4C1"/>
                </w:tcPr>
                <w:p>
                  <w:pPr>
                    <w:spacing w:before="0" w:after="60"/>
                    <w:keepNext/>
                    <w:jc w:val="center"/>
                  </w:pPr>
                  <w:r>
                    <w:rPr>
                      <w:rFonts w:ascii="Calibri" w:hAnsi="Calibri"/>
                      <w:sz w:val="20"/>
                      <w:color w:val="000000"/>
                    </w:rPr>
                    <w:t xml:space="default">1.0</w:t>
                  </w:r>
                </w:p>
              </w:tc>
              <w:tc>
                <w:tcPr>
                  <w:tcBorders>
                    <w:top w:val="single" w:space="0" w:color="D3D3D3"/>
                    <w:bottom w:val="single" w:space="0" w:color="D3D3D3"/>
                    <w:start w:val="single" w:space="0" w:color="D3D3D3"/>
                    <w:end w:val="single" w:space="0" w:color="D3D3D3"/>
                  </w:tcBorders>
                  <w:shd w:val="clear" w:color="auto" w:fill="FDA081"/>
                </w:tcPr>
                <w:p>
                  <w:pPr>
                    <w:spacing w:before="0" w:after="60"/>
                    <w:keepNext/>
                    <w:jc w:val="center"/>
                  </w:pPr>
                  <w:r>
                    <w:rPr>
                      <w:rFonts w:ascii="Calibri" w:hAnsi="Calibri"/>
                      <w:sz w:val="20"/>
                      <w:color w:val="000000"/>
                    </w:rPr>
                    <w:t xml:space="default">1.2</w:t>
                  </w:r>
                </w:p>
              </w:tc>
              <w:tc>
                <w:tcPr>
                  <w:tcBorders>
                    <w:top w:val="single" w:space="0" w:color="D3D3D3"/>
                    <w:bottom w:val="single" w:space="0" w:color="D3D3D3"/>
                    <w:start w:val="single" w:space="0" w:color="D3D3D3"/>
                    <w:end w:val="single" w:space="0" w:color="D3D3D3"/>
                  </w:tcBorders>
                  <w:shd w:val="clear" w:color="auto" w:fill="C2161B"/>
                </w:tcPr>
                <w:p>
                  <w:pPr>
                    <w:spacing w:before="0" w:after="60"/>
                    <w:keepNext/>
                    <w:jc w:val="center"/>
                  </w:pPr>
                  <w:r>
                    <w:rPr>
                      <w:rFonts w:ascii="Calibri" w:hAnsi="Calibri"/>
                      <w:sz w:val="20"/>
                      <w:color w:val="FFFFFF"/>
                    </w:rPr>
                    <w:t xml:space="default">3.6</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center"/>
                  </w:pPr>
                  <w:r>
                    <w:rPr>
                      <w:rFonts w:ascii="Calibri" w:hAnsi="Calibri"/>
                      <w:sz w:val="20"/>
                      <w:color w:val="00000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Kyphosidae</w:t>
                  </w:r>
                </w:p>
              </w:tc>
              <w:tc>
                <w:tcPr>
                  <w:tcBorders>
                    <w:top w:val="single" w:space="0" w:color="D3D3D3"/>
                    <w:bottom w:val="single" w:space="0" w:color="D3D3D3"/>
                    <w:start w:val="single" w:space="0" w:color="D3D3D3"/>
                    <w:end w:val="single" w:space="0" w:color="D3D3D3"/>
                  </w:tcBorders>
                  <w:shd w:val="clear" w:color="auto" w:fill="FFE7DC"/>
                </w:tcPr>
                <w:p>
                  <w:pPr>
                    <w:spacing w:before="0" w:after="60"/>
                    <w:keepNext/>
                    <w:jc w:val="center"/>
                  </w:pPr>
                  <w:r>
                    <w:rPr>
                      <w:rFonts w:ascii="Calibri" w:hAnsi="Calibri"/>
                      <w:sz w:val="20"/>
                      <w:color w:val="000000"/>
                    </w:rPr>
                    <w:t xml:space="default">0.8</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Chaetodontidae</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center"/>
                  </w:pPr>
                  <w:r>
                    <w:rPr>
                      <w:rFonts w:ascii="Calibri" w:hAnsi="Calibri"/>
                      <w:sz w:val="20"/>
                      <w:color w:val="000000"/>
                    </w:rPr>
                    <w:t xml:space="default">0.4</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center"/>
                  </w:pPr>
                  <w:r>
                    <w:rPr>
                      <w:rFonts w:ascii="Calibri" w:hAnsi="Calibri"/>
                      <w:sz w:val="20"/>
                      <w:color w:val="000000"/>
                    </w:rPr>
                    <w:t xml:space="default">0.4</w:t>
                  </w:r>
                </w:p>
              </w:tc>
              <w:tc>
                <w:tcPr>
                  <w:tcBorders>
                    <w:top w:val="single" w:space="0" w:color="D3D3D3"/>
                    <w:bottom w:val="single" w:space="0" w:color="D3D3D3"/>
                    <w:start w:val="single" w:space="0" w:color="D3D3D3"/>
                    <w:end w:val="single" w:space="0" w:color="D3D3D3"/>
                  </w:tcBorders>
                  <w:shd w:val="clear" w:color="auto" w:fill="FEE2D5"/>
                </w:tcPr>
                <w:p>
                  <w:pPr>
                    <w:spacing w:before="0" w:after="60"/>
                    <w:keepNext/>
                    <w:jc w:val="center"/>
                  </w:pPr>
                  <w:r>
                    <w:rPr>
                      <w:rFonts w:ascii="Calibri" w:hAnsi="Calibri"/>
                      <w:sz w:val="20"/>
                      <w:color w:val="000000"/>
                    </w:rPr>
                    <w:t xml:space="default">1.0</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Serranidae</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center"/>
                  </w:pPr>
                  <w:r>
                    <w:rPr>
                      <w:rFonts w:ascii="Calibri" w:hAnsi="Calibri"/>
                      <w:sz w:val="20"/>
                      <w:color w:val="000000"/>
                    </w:rPr>
                    <w:t xml:space="default">0.4</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center"/>
                  </w:pPr>
                  <w:r>
                    <w:rPr>
                      <w:rFonts w:ascii="Calibri" w:hAnsi="Calibri"/>
                      <w:sz w:val="20"/>
                      <w:color w:val="000000"/>
                    </w:rPr>
                    <w:t xml:space="default">0.4</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Bleniidae</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2D5"/>
                </w:tcPr>
                <w:p>
                  <w:pPr>
                    <w:spacing w:before="0" w:after="60"/>
                    <w:keepNext/>
                    <w:jc w:val="center"/>
                  </w:pPr>
                  <w:r>
                    <w:rPr>
                      <w:rFonts w:ascii="Calibri" w:hAnsi="Calibri"/>
                      <w:sz w:val="20"/>
                      <w:color w:val="000000"/>
                    </w:rPr>
                    <w:t xml:space="default">0.8</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Centriscidae</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6573D"/>
                </w:tcPr>
                <w:p>
                  <w:pPr>
                    <w:spacing w:before="0" w:after="60"/>
                    <w:keepNext/>
                    <w:jc w:val="center"/>
                  </w:pPr>
                  <w:r>
                    <w:rPr>
                      <w:rFonts w:ascii="Calibri" w:hAnsi="Calibri"/>
                      <w:sz w:val="20"/>
                      <w:color w:val="FFFFFF"/>
                    </w:rPr>
                    <w:t xml:space="default">2.4</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Nemipteridae</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9E0D14"/>
                </w:tcPr>
                <w:p>
                  <w:pPr>
                    <w:spacing w:before="0" w:after="60"/>
                    <w:keepNext/>
                    <w:jc w:val="center"/>
                  </w:pPr>
                  <w:r>
                    <w:rPr>
                      <w:rFonts w:ascii="Calibri" w:hAnsi="Calibri"/>
                      <w:sz w:val="20"/>
                      <w:color w:val="FFFFFF"/>
                    </w:rPr>
                    <w:t xml:space="default">4.0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bl>
          <w:bookmarkEnd w:id="56"/>
        </w:tc>
      </w:tr>
    </w:tbl>
    <w:tbl>
      <w:tblPr>
        <w:tblStyle w:val="Table"/>
        <w:tblW w:type="pct" w:w="5000"/>
        <w:tblLayout w:type="fixed"/>
        <w:tblLook w:firstRow="0" w:lastRow="0" w:firstColumn="0" w:lastColumn="0" w:noHBand="0" w:noVBand="0" w:val="0000"/>
      </w:tblPr>
      <w:tblGrid>
        <w:gridCol w:w="7920"/>
      </w:tblGrid>
      <w:tr>
        <w:tc>
          <w:tcPr/>
          <w:bookmarkStart w:id="60" w:name="fig-fish-density-unguja-error"/>
          <w:p>
            <w:pPr>
              <w:pStyle w:val="Compact"/>
              <w:jc w:val="center"/>
            </w:pPr>
            <w:r>
              <w:drawing>
                <wp:inline>
                  <wp:extent cx="4620126" cy="3696101"/>
                  <wp:effectExtent b="0" l="0" r="0" t="0"/>
                  <wp:docPr descr="" title="" id="58" name="Picture"/>
                  <a:graphic>
                    <a:graphicData uri="http://schemas.openxmlformats.org/drawingml/2006/picture">
                      <pic:pic>
                        <pic:nvPicPr>
                          <pic:cNvPr descr="coral_reef_assessment_reportDraft1_files/figure-docx/fig-fish-density-unguja-error-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Median fish density (individuals per 100 m</w:t>
            </w:r>
            <w:r>
              <w:rPr>
                <w:vertAlign w:val="superscript"/>
              </w:rPr>
              <w:t xml:space="preserve">2</w:t>
            </w:r>
            <w:r>
              <w:t xml:space="preserve">) across the surveyed reefs in Unguja North.</w:t>
            </w:r>
          </w:p>
          <w:bookmarkEnd w:id="60"/>
        </w:tc>
      </w:tr>
    </w:tbl>
    <w:bookmarkEnd w:id="61"/>
    <w:bookmarkStart w:id="67" w:name="sec-unguja-recruits"/>
    <w:p>
      <w:pPr>
        <w:pStyle w:val="Heading3"/>
      </w:pPr>
      <w:r>
        <w:t xml:space="preserve">3.1.3 Coral Recruits</w:t>
      </w:r>
    </w:p>
    <w:p>
      <w:pPr>
        <w:pStyle w:val="FirstParagraph"/>
      </w:pPr>
    </w:p>
    <w:p>
      <w:pPr>
        <w:pStyle w:val="BodyText"/>
      </w:pPr>
      <w:r>
        <w:t xml:space="preserve">Coral recruitment in Unguja North was dominated by</w:t>
      </w:r>
      <w:r>
        <w:t xml:space="preserve"> </w:t>
      </w:r>
      <w:r>
        <w:rPr>
          <w:i/>
          <w:iCs/>
        </w:rPr>
        <w:t xml:space="preserve">Galaxea</w:t>
      </w:r>
      <w:r>
        <w:t xml:space="preserve"> </w:t>
      </w:r>
      <w:r>
        <w:t xml:space="preserve">and</w:t>
      </w:r>
      <w:r>
        <w:t xml:space="preserve"> </w:t>
      </w:r>
      <w:r>
        <w:rPr>
          <w:i/>
          <w:iCs/>
        </w:rPr>
        <w:t xml:space="preserve">Porites</w:t>
      </w:r>
      <w:r>
        <w:t xml:space="preserve"> </w:t>
      </w:r>
      <w:r>
        <w:t xml:space="preserve">across most sites, with</w:t>
      </w:r>
      <w:r>
        <w:t xml:space="preserve"> </w:t>
      </w:r>
      <w:r>
        <w:rPr>
          <w:i/>
          <w:iCs/>
        </w:rPr>
        <w:t xml:space="preserve">Chama Kangu</w:t>
      </w:r>
      <w:r>
        <w:t xml:space="preserve"> </w:t>
      </w:r>
      <w:r>
        <w:t xml:space="preserve">exhibiting the highest overall recruit densities, particularly for</w:t>
      </w:r>
      <w:r>
        <w:t xml:space="preserve"> </w:t>
      </w:r>
      <w:r>
        <w:rPr>
          <w:i/>
          <w:iCs/>
        </w:rPr>
        <w:t xml:space="preserve">Galaxea</w:t>
      </w:r>
      <w:r>
        <w:t xml:space="preserve"> </w:t>
      </w:r>
      <w:r>
        <w:t xml:space="preserve">(250 ind. 100 m</w:t>
      </w:r>
      <w:r>
        <w:rPr>
          <w:vertAlign w:val="superscript"/>
        </w:rPr>
        <w:t xml:space="preserve">-2</w:t>
      </w:r>
      <w:r>
        <w:t xml:space="preserve">) and</w:t>
      </w:r>
      <w:r>
        <w:t xml:space="preserve"> </w:t>
      </w:r>
      <w:r>
        <w:rPr>
          <w:i/>
          <w:iCs/>
        </w:rPr>
        <w:t xml:space="preserve">Fungia</w:t>
      </w:r>
      <w:r>
        <w:t xml:space="preserve"> </w:t>
      </w:r>
      <w:r>
        <w:t xml:space="preserve">(200 ind. 100 m</w:t>
      </w:r>
      <w:r>
        <w:rPr>
          <w:vertAlign w:val="superscript"/>
        </w:rPr>
        <w:t xml:space="preserve">-2</w:t>
      </w:r>
      <w:r>
        <w:t xml:space="preserve">).</w:t>
      </w:r>
      <w:r>
        <w:t xml:space="preserve"> </w:t>
      </w:r>
      <w:r>
        <w:rPr>
          <w:i/>
          <w:iCs/>
        </w:rPr>
        <w:t xml:space="preserve">Chumani</w:t>
      </w:r>
      <w:r>
        <w:t xml:space="preserve"> </w:t>
      </w:r>
      <w:r>
        <w:t xml:space="preserve">and</w:t>
      </w:r>
      <w:r>
        <w:t xml:space="preserve"> </w:t>
      </w:r>
      <w:r>
        <w:rPr>
          <w:i/>
          <w:iCs/>
        </w:rPr>
        <w:t xml:space="preserve">Mayale</w:t>
      </w:r>
      <w:r>
        <w:t xml:space="preserve"> </w:t>
      </w:r>
      <w:r>
        <w:t xml:space="preserve">showed strong recruitment of</w:t>
      </w:r>
      <w:r>
        <w:t xml:space="preserve"> </w:t>
      </w:r>
      <w:r>
        <w:rPr>
          <w:i/>
          <w:iCs/>
        </w:rPr>
        <w:t xml:space="preserve">Acropora</w:t>
      </w:r>
      <w:r>
        <w:t xml:space="preserve"> </w:t>
      </w:r>
      <w:r>
        <w:t xml:space="preserve">and</w:t>
      </w:r>
      <w:r>
        <w:t xml:space="preserve"> </w:t>
      </w:r>
      <w:r>
        <w:rPr>
          <w:i/>
          <w:iCs/>
        </w:rPr>
        <w:t xml:space="preserve">Fangia</w:t>
      </w:r>
      <w:r>
        <w:t xml:space="preserve"> </w:t>
      </w:r>
      <w:r>
        <w:t xml:space="preserve">(200 ind. 100 m</w:t>
      </w:r>
      <w:r>
        <w:rPr>
          <w:vertAlign w:val="superscript"/>
        </w:rPr>
        <w:t xml:space="preserve">-2</w:t>
      </w:r>
      <w:r>
        <w:t xml:space="preserve"> </w:t>
      </w:r>
      <w:r>
        <w:t xml:space="preserve">respectively), while</w:t>
      </w:r>
      <w:r>
        <w:t xml:space="preserve"> </w:t>
      </w:r>
      <w:r>
        <w:rPr>
          <w:i/>
          <w:iCs/>
        </w:rPr>
        <w:t xml:space="preserve">Mwamba Mrefu</w:t>
      </w:r>
      <w:r>
        <w:t xml:space="preserve"> </w:t>
      </w:r>
      <w:r>
        <w:t xml:space="preserve">recorded the highest density of</w:t>
      </w:r>
      <w:r>
        <w:t xml:space="preserve"> </w:t>
      </w:r>
      <w:r>
        <w:rPr>
          <w:i/>
          <w:iCs/>
        </w:rPr>
        <w:t xml:space="preserve">Porites</w:t>
      </w:r>
      <w:r>
        <w:t xml:space="preserve"> </w:t>
      </w:r>
      <w:r>
        <w:t xml:space="preserve">recruits (200 ind. 100 m</w:t>
      </w:r>
      <w:r>
        <w:rPr>
          <w:vertAlign w:val="superscript"/>
        </w:rPr>
        <w:t xml:space="preserve">-2</w:t>
      </w:r>
      <w:r>
        <w:t xml:space="preserve">). The presence of pioneer genera like</w:t>
      </w:r>
      <w:r>
        <w:t xml:space="preserve"> </w:t>
      </w:r>
      <w:r>
        <w:rPr>
          <w:i/>
          <w:iCs/>
        </w:rPr>
        <w:t xml:space="preserve">Pocillopora</w:t>
      </w:r>
      <w:r>
        <w:t xml:space="preserve"> </w:t>
      </w:r>
      <w:r>
        <w:t xml:space="preserve">and</w:t>
      </w:r>
      <w:r>
        <w:t xml:space="preserve"> </w:t>
      </w:r>
      <w:r>
        <w:rPr>
          <w:i/>
          <w:iCs/>
        </w:rPr>
        <w:t xml:space="preserve">Millepora</w:t>
      </w:r>
      <w:r>
        <w:t xml:space="preserve"> </w:t>
      </w:r>
      <w:r>
        <w:t xml:space="preserve">at</w:t>
      </w:r>
      <w:r>
        <w:t xml:space="preserve"> </w:t>
      </w:r>
      <w:r>
        <w:rPr>
          <w:i/>
          <w:iCs/>
        </w:rPr>
        <w:t xml:space="preserve">Chumani</w:t>
      </w:r>
      <w:r>
        <w:t xml:space="preserve"> </w:t>
      </w:r>
      <w:r>
        <w:t xml:space="preserve">suggests active recovery potential, whereas the absence of</w:t>
      </w:r>
      <w:r>
        <w:t xml:space="preserve"> </w:t>
      </w:r>
      <w:r>
        <w:rPr>
          <w:i/>
          <w:iCs/>
        </w:rPr>
        <w:t xml:space="preserve">Acropora</w:t>
      </w:r>
      <w:r>
        <w:t xml:space="preserve"> </w:t>
      </w:r>
      <w:r>
        <w:t xml:space="preserve">recruits at</w:t>
      </w:r>
      <w:r>
        <w:t xml:space="preserve"> </w:t>
      </w:r>
      <w:r>
        <w:rPr>
          <w:i/>
          <w:iCs/>
        </w:rPr>
        <w:t xml:space="preserve">Mwamba Mrefu</w:t>
      </w:r>
      <w:r>
        <w:t xml:space="preserve"> </w:t>
      </w:r>
      <w:r>
        <w:t xml:space="preserve">may indicate localized settlement limitations for branching coral species (see</w:t>
      </w:r>
      <w:r>
        <w:t xml:space="preserve"> </w:t>
      </w:r>
      <w:hyperlink w:anchor="fig-recruit-density-unguja-error">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2" w:name="tbl-recruit-density-unguja"/>
          <w:p>
            <w:pPr>
              <w:jc w:val="center"/>
            </w:pPr>
            <w:pPr>
              <w:jc w:val="start"/>
              <w:spacing w:before="200"/>
              <w:pStyle w:val="ImageCaption"/>
            </w:pPr>
            <w:r>
              <w:t xml:space="preserve">Table 5: Recruit density (individuals per 100 m</w:t>
            </w:r>
            <w:r>
              <w:rPr>
                <w:vertAlign w:val="superscript"/>
              </w:rPr>
              <w:t xml:space="preserve">2</w:t>
            </w:r>
            <w:r>
              <w:t xml:space="preserve">) by family across the surveyed reefs in Unguja North.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preserve">Recruit Density (individuals per 100m^2^)</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Family</w:t>
                  </w:r>
                </w:p>
              </w:tc>
              <w:tc>
                <w:tcPr>
                  <w:tcBorders>
                    <w:bottom w:val="single" w:sz="16" w:space="0" w:color="D3D3D3"/>
                  </w:tcBorders>
                </w:tcPr>
                <w:p>
                  <w:pPr>
                    <w:spacing w:before="0" w:after="60"/>
                    <w:keepNext/>
                    <w:jc w:val="center"/>
                  </w:pPr>
                  <w:r>
                    <w:rPr>
                      <w:rFonts w:ascii="Calibri" w:hAnsi="Calibri"/>
                      <w:sz w:val="20"/>
                    </w:rPr>
                    <w:t xml:space="default">Chama Kangu</w:t>
                  </w:r>
                </w:p>
              </w:tc>
              <w:tc>
                <w:tcPr>
                  <w:tcBorders>
                    <w:bottom w:val="single" w:sz="16" w:space="0" w:color="D3D3D3"/>
                  </w:tcBorders>
                </w:tcPr>
                <w:p>
                  <w:pPr>
                    <w:spacing w:before="0" w:after="60"/>
                    <w:keepNext/>
                    <w:jc w:val="center"/>
                  </w:pPr>
                  <w:r>
                    <w:rPr>
                      <w:rFonts w:ascii="Calibri" w:hAnsi="Calibri"/>
                      <w:sz w:val="20"/>
                    </w:rPr>
                    <w:t xml:space="default">Chumani</w:t>
                  </w:r>
                </w:p>
              </w:tc>
              <w:tc>
                <w:tcPr>
                  <w:tcBorders>
                    <w:bottom w:val="single" w:sz="16" w:space="0" w:color="D3D3D3"/>
                  </w:tcBorders>
                </w:tcPr>
                <w:p>
                  <w:pPr>
                    <w:spacing w:before="0" w:after="60"/>
                    <w:keepNext/>
                    <w:jc w:val="center"/>
                  </w:pPr>
                  <w:r>
                    <w:rPr>
                      <w:rFonts w:ascii="Calibri" w:hAnsi="Calibri"/>
                      <w:sz w:val="20"/>
                    </w:rPr>
                    <w:t xml:space="default">Mayale</w:t>
                  </w:r>
                </w:p>
              </w:tc>
              <w:tc>
                <w:tcPr>
                  <w:tcBorders>
                    <w:bottom w:val="single" w:sz="16" w:space="0" w:color="D3D3D3"/>
                    <w:end w:val="single" w:space="0" w:color="D3D3D3"/>
                  </w:tcBorders>
                </w:tcPr>
                <w:p>
                  <w:pPr>
                    <w:spacing w:before="0" w:after="60"/>
                    <w:keepNext/>
                    <w:jc w:val="center"/>
                  </w:pPr>
                  <w:r>
                    <w:rPr>
                      <w:rFonts w:ascii="Calibri" w:hAnsi="Calibri"/>
                      <w:sz w:val="20"/>
                    </w:rPr>
                    <w:t xml:space="default">Mwamba Mrefu</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Galaxea</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250.0</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100.0</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100.0</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Fungia</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200.0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Acropora</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100.0</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200.0</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100.0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Fangia</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100.0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200.0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Pavona</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100.0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Porites</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100.0</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100.0</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150.0</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200.0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Favia</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100.0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Millepora</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200.0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Pocillopora</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200.0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Seriatopora</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150.0</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Astreopora</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100.0</w:t>
                  </w:r>
                </w:p>
              </w:tc>
            </w:tr>
          </w:tbl>
          <w:bookmarkEnd w:id="62"/>
        </w:tc>
      </w:tr>
    </w:tbl>
    <w:tbl>
      <w:tblPr>
        <w:tblStyle w:val="Table"/>
        <w:tblW w:type="pct" w:w="5000"/>
        <w:tblLayout w:type="fixed"/>
        <w:tblLook w:firstRow="0" w:lastRow="0" w:firstColumn="0" w:lastColumn="0" w:noHBand="0" w:noVBand="0" w:val="0000"/>
      </w:tblPr>
      <w:tblGrid>
        <w:gridCol w:w="7920"/>
      </w:tblGrid>
      <w:tr>
        <w:tc>
          <w:tcPr/>
          <w:bookmarkStart w:id="66" w:name="fig-recruit-density-unguja-error"/>
          <w:p>
            <w:pPr>
              <w:pStyle w:val="Compact"/>
              <w:jc w:val="center"/>
            </w:pPr>
            <w:r>
              <w:drawing>
                <wp:inline>
                  <wp:extent cx="4620126" cy="3696101"/>
                  <wp:effectExtent b="0" l="0" r="0" t="0"/>
                  <wp:docPr descr="" title="" id="64" name="Picture"/>
                  <a:graphic>
                    <a:graphicData uri="http://schemas.openxmlformats.org/drawingml/2006/picture">
                      <pic:pic>
                        <pic:nvPicPr>
                          <pic:cNvPr descr="coral_reef_assessment_reportDraft1_files/figure-docx/fig-recruit-density-unguja-error-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Median recruit density (individuals per 100 m</w:t>
            </w:r>
            <w:r>
              <w:rPr>
                <w:vertAlign w:val="superscript"/>
              </w:rPr>
              <w:t xml:space="preserve">2</w:t>
            </w:r>
            <w:r>
              <w:t xml:space="preserve">) across the surveyed reefs in Unguja North.</w:t>
            </w:r>
          </w:p>
          <w:bookmarkEnd w:id="66"/>
        </w:tc>
      </w:tr>
    </w:tbl>
    <w:bookmarkEnd w:id="67"/>
    <w:bookmarkStart w:id="73" w:name="sec-unguja-inverts"/>
    <w:p>
      <w:pPr>
        <w:pStyle w:val="Heading3"/>
      </w:pPr>
      <w:r>
        <w:t xml:space="preserve">3.1.4 Invertebrate Assemblages</w:t>
      </w:r>
    </w:p>
    <w:p>
      <w:pPr>
        <w:pStyle w:val="FirstParagraph"/>
      </w:pPr>
    </w:p>
    <w:p>
      <w:pPr>
        <w:pStyle w:val="BodyText"/>
      </w:pPr>
      <w:r>
        <w:t xml:space="preserve">Invertebrate assemblages in Unguja North were heavily dominated by sea urchins (</w:t>
      </w:r>
      <w:hyperlink w:anchor="tbl-invertebrate-unguja">
        <w:r>
          <w:rPr>
            <w:rStyle w:val="Hyperlink"/>
          </w:rPr>
          <w:t xml:space="preserve">Table 6</w:t>
        </w:r>
      </w:hyperlink>
      <w:r>
        <w:t xml:space="preserve">), particularly at</w:t>
      </w:r>
      <w:r>
        <w:t xml:space="preserve"> </w:t>
      </w:r>
      <w:r>
        <w:rPr>
          <w:b/>
          <w:bCs/>
        </w:rPr>
        <w:t xml:space="preserve">Mayale</w:t>
      </w:r>
      <w:r>
        <w:t xml:space="preserve">, which recorded a density of 282 individuals per 100 m</w:t>
      </w:r>
      <w:r>
        <w:rPr>
          <w:vertAlign w:val="superscript"/>
        </w:rPr>
        <w:t xml:space="preserve">2</w:t>
      </w:r>
      <w:r>
        <w:t xml:space="preserve">, significantly higher than</w:t>
      </w:r>
      <w:r>
        <w:t xml:space="preserve"> </w:t>
      </w:r>
      <w:r>
        <w:rPr>
          <w:b/>
          <w:bCs/>
        </w:rPr>
        <w:t xml:space="preserve">Mwamba Mrefu</w:t>
      </w:r>
      <w:r>
        <w:t xml:space="preserve"> </w:t>
      </w:r>
      <w:r>
        <w:t xml:space="preserve">(16 ind. 100 m</w:t>
      </w:r>
      <w:r>
        <w:rPr>
          <w:vertAlign w:val="superscript"/>
        </w:rPr>
        <w:t xml:space="preserve">-2</w:t>
      </w:r>
      <w:r>
        <w:t xml:space="preserve">) and</w:t>
      </w:r>
      <w:r>
        <w:t xml:space="preserve"> </w:t>
      </w:r>
      <w:r>
        <w:rPr>
          <w:b/>
          <w:bCs/>
        </w:rPr>
        <w:t xml:space="preserve">Chumani</w:t>
      </w:r>
      <w:r>
        <w:t xml:space="preserve"> </w:t>
      </w:r>
      <w:r>
        <w:t xml:space="preserve">(9 ind. 100 m</w:t>
      </w:r>
      <w:r>
        <w:rPr>
          <w:vertAlign w:val="superscript"/>
        </w:rPr>
        <w:t xml:space="preserve">-2</w:t>
      </w:r>
      <w:r>
        <w:t xml:space="preserve">). Other taxa were present in much lower abundances; blue starfish and white starfish were only recorded at</w:t>
      </w:r>
      <w:r>
        <w:t xml:space="preserve"> </w:t>
      </w:r>
      <w:r>
        <w:rPr>
          <w:b/>
          <w:bCs/>
        </w:rPr>
        <w:t xml:space="preserve">Chumani</w:t>
      </w:r>
      <w:r>
        <w:t xml:space="preserve"> </w:t>
      </w:r>
      <w:r>
        <w:t xml:space="preserve">(3 and 1 ind. 100 m</w:t>
      </w:r>
      <w:r>
        <w:rPr>
          <w:vertAlign w:val="superscript"/>
        </w:rPr>
        <w:t xml:space="preserve">-2</w:t>
      </w:r>
      <w:r>
        <w:t xml:space="preserve"> </w:t>
      </w:r>
      <w:r>
        <w:t xml:space="preserve">respectively), while sea cucumbers were only observed at</w:t>
      </w:r>
      <w:r>
        <w:t xml:space="preserve"> </w:t>
      </w:r>
      <w:r>
        <w:rPr>
          <w:b/>
          <w:bCs/>
        </w:rPr>
        <w:t xml:space="preserve">Chama Kangu</w:t>
      </w:r>
      <w:r>
        <w:t xml:space="preserve"> </w:t>
      </w:r>
      <w:r>
        <w:t xml:space="preserve">(2 ind. 100 m</w:t>
      </w:r>
      <w:r>
        <w:rPr>
          <w:vertAlign w:val="superscript"/>
        </w:rPr>
        <w:t xml:space="preserve">-2</w:t>
      </w:r>
      <w:r>
        <w:t xml:space="preserve">). These low densities of high-value invertebrates like sea cucumbers across all sites reflect the persistent pressure of historical harvesting.</w:t>
      </w:r>
    </w:p>
    <w:tbl>
      <w:tblPr>
        <w:tblStyle w:val="Table"/>
        <w:tblW w:type="pct" w:w="5000"/>
        <w:tblLayout w:type="fixed"/>
        <w:tblLook w:firstRow="0" w:lastRow="0" w:firstColumn="0" w:lastColumn="0" w:noHBand="0" w:noVBand="0" w:val="0000"/>
      </w:tblPr>
      <w:tblGrid>
        <w:gridCol w:w="7920"/>
      </w:tblGrid>
      <w:tr>
        <w:tc>
          <w:tcPr/>
          <w:bookmarkStart w:id="68" w:name="tbl-invertebrate-unguja"/>
          <w:p>
            <w:pPr>
              <w:jc w:val="center"/>
            </w:pPr>
            <w:pPr>
              <w:jc w:val="start"/>
              <w:spacing w:before="200"/>
              <w:pStyle w:val="ImageCaption"/>
            </w:pPr>
            <w:r>
              <w:t xml:space="preserve">Table 6: Mean recruit density (individuals per 100 m</w:t>
            </w:r>
            <w:r>
              <w:rPr>
                <w:vertAlign w:val="superscript"/>
              </w:rPr>
              <w:t xml:space="preserve">2</w:t>
            </w:r>
            <w:r>
              <w:t xml:space="preserve">) by family across the surveyed reefs in Unguja. Values represent the median density observed across all transects per site.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preserve">Invertebrates (individuals per 100m^2^)</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Family</w:t>
                  </w:r>
                </w:p>
              </w:tc>
              <w:tc>
                <w:tcPr>
                  <w:tcBorders>
                    <w:bottom w:val="single" w:sz="16" w:space="0" w:color="D3D3D3"/>
                  </w:tcBorders>
                </w:tcPr>
                <w:p>
                  <w:pPr>
                    <w:spacing w:before="0" w:after="60"/>
                    <w:keepNext/>
                    <w:jc w:val="center"/>
                  </w:pPr>
                  <w:r>
                    <w:rPr>
                      <w:rFonts w:ascii="Calibri" w:hAnsi="Calibri"/>
                      <w:sz w:val="20"/>
                    </w:rPr>
                    <w:t xml:space="default">Chama Kangu</w:t>
                  </w:r>
                </w:p>
              </w:tc>
              <w:tc>
                <w:tcPr>
                  <w:tcBorders>
                    <w:bottom w:val="single" w:sz="16" w:space="0" w:color="D3D3D3"/>
                  </w:tcBorders>
                </w:tcPr>
                <w:p>
                  <w:pPr>
                    <w:spacing w:before="0" w:after="60"/>
                    <w:keepNext/>
                    <w:jc w:val="center"/>
                  </w:pPr>
                  <w:r>
                    <w:rPr>
                      <w:rFonts w:ascii="Calibri" w:hAnsi="Calibri"/>
                      <w:sz w:val="20"/>
                    </w:rPr>
                    <w:t xml:space="default">Chumani</w:t>
                  </w:r>
                </w:p>
              </w:tc>
              <w:tc>
                <w:tcPr>
                  <w:tcBorders>
                    <w:bottom w:val="single" w:sz="16" w:space="0" w:color="D3D3D3"/>
                  </w:tcBorders>
                </w:tcPr>
                <w:p>
                  <w:pPr>
                    <w:spacing w:before="0" w:after="60"/>
                    <w:keepNext/>
                    <w:jc w:val="center"/>
                  </w:pPr>
                  <w:r>
                    <w:rPr>
                      <w:rFonts w:ascii="Calibri" w:hAnsi="Calibri"/>
                      <w:sz w:val="20"/>
                    </w:rPr>
                    <w:t xml:space="default">Mayale</w:t>
                  </w:r>
                </w:p>
              </w:tc>
              <w:tc>
                <w:tcPr>
                  <w:tcBorders>
                    <w:bottom w:val="single" w:sz="16" w:space="0" w:color="D3D3D3"/>
                    <w:end w:val="single" w:space="0" w:color="D3D3D3"/>
                  </w:tcBorders>
                </w:tcPr>
                <w:p>
                  <w:pPr>
                    <w:spacing w:before="0" w:after="60"/>
                    <w:keepNext/>
                    <w:jc w:val="end"/>
                  </w:pPr>
                  <w:r>
                    <w:rPr>
                      <w:rFonts w:ascii="Calibri" w:hAnsi="Calibri"/>
                      <w:sz w:val="20"/>
                    </w:rPr>
                    <w:t xml:space="default">Mwamba Mrefu</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 Urchin</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9</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282</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end"/>
                  </w:pPr>
                  <w:r>
                    <w:rPr>
                      <w:rFonts w:ascii="Calibri" w:hAnsi="Calibri"/>
                      <w:sz w:val="20"/>
                      <w:color w:val="00000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Blue starfish</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3</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end"/>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white starfish</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0D2"/>
                </w:tcPr>
                <w:p>
                  <w:pPr>
                    <w:spacing w:before="0" w:after="60"/>
                    <w:keepNext/>
                    <w:jc w:val="center"/>
                  </w:pPr>
                  <w:r>
                    <w:rPr>
                      <w:rFonts w:ascii="Calibri" w:hAnsi="Calibri"/>
                      <w:sz w:val="20"/>
                      <w:color w:val="000000"/>
                    </w:rPr>
                    <w:t xml:space="default">1</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end"/>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Unspecified</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2</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end"/>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 cucumber</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2</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end"/>
                  </w:pPr>
                  <w:r>
                    <w:rPr>
                      <w:rFonts w:ascii="Calibri" w:hAnsi="Calibri"/>
                      <w:sz w:val="20"/>
                      <w:color w:val="000000"/>
                    </w:rPr>
                    <w:t xml:space="default">-</w:t>
                  </w:r>
                </w:p>
              </w:tc>
            </w:tr>
          </w:tbl>
          <w:bookmarkEnd w:id="68"/>
        </w:tc>
      </w:tr>
    </w:tbl>
    <w:tbl>
      <w:tblPr>
        <w:tblStyle w:val="Table"/>
        <w:tblW w:type="pct" w:w="5000"/>
        <w:tblLayout w:type="fixed"/>
        <w:tblLook w:firstRow="0" w:lastRow="0" w:firstColumn="0" w:lastColumn="0" w:noHBand="0" w:noVBand="0" w:val="0000"/>
      </w:tblPr>
      <w:tblGrid>
        <w:gridCol w:w="7920"/>
      </w:tblGrid>
      <w:tr>
        <w:tc>
          <w:tcPr/>
          <w:bookmarkStart w:id="72" w:name="fig-inverts-mtwara"/>
          <w:p>
            <w:pPr>
              <w:pStyle w:val="Compact"/>
              <w:jc w:val="center"/>
            </w:pPr>
            <w:r>
              <w:drawing>
                <wp:inline>
                  <wp:extent cx="3810000" cy="2540000"/>
                  <wp:effectExtent b="0" l="0" r="0" t="0"/>
                  <wp:docPr descr="" title="" id="70" name="Picture"/>
                  <a:graphic>
                    <a:graphicData uri="http://schemas.openxmlformats.org/drawingml/2006/picture">
                      <pic:pic>
                        <pic:nvPicPr>
                          <pic:cNvPr descr="invert_density_unguja2.pdf" id="71" name="Picture"/>
                          <pic:cNvPicPr>
                            <a:picLocks noChangeArrowheads="1" noChangeAspect="1"/>
                          </pic:cNvPicPr>
                        </pic:nvPicPr>
                        <pic:blipFill>
                          <a:blip r:embed="rId69"/>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Invertebrate density (individuals per 100 m</w:t>
            </w:r>
            <w:r>
              <w:rPr>
                <w:vertAlign w:val="superscript"/>
              </w:rPr>
              <w:t xml:space="preserve">2</w:t>
            </w:r>
            <w:r>
              <w:t xml:space="preserve">) by taxon across reefs in Unguja North.</w:t>
            </w:r>
          </w:p>
          <w:bookmarkEnd w:id="72"/>
        </w:tc>
      </w:tr>
    </w:tbl>
    <w:bookmarkEnd w:id="73"/>
    <w:bookmarkEnd w:id="74"/>
    <w:bookmarkStart w:id="99" w:name="sec-mtwara"/>
    <w:p>
      <w:pPr>
        <w:pStyle w:val="Heading2"/>
      </w:pPr>
      <w:r>
        <w:t xml:space="preserve">3.2 Mtwara</w:t>
      </w:r>
    </w:p>
    <w:p>
      <w:pPr>
        <w:pStyle w:val="FirstParagraph"/>
      </w:pPr>
    </w:p>
    <w:bookmarkStart w:id="80" w:name="sec-mtwara-substrate"/>
    <w:p>
      <w:pPr>
        <w:pStyle w:val="Heading3"/>
      </w:pPr>
      <w:r>
        <w:t xml:space="preserve">3.2.1 Benthic Substrate Composition</w:t>
      </w:r>
    </w:p>
    <w:p>
      <w:pPr>
        <w:pStyle w:val="FirstParagraph"/>
      </w:pPr>
    </w:p>
    <w:p>
      <w:pPr>
        <w:pStyle w:val="BodyText"/>
      </w:pPr>
      <w:r>
        <w:t xml:space="preserve">Detailed percentage cover for specific substrate categories in Mtwara is provided in</w:t>
      </w:r>
      <w:r>
        <w:t xml:space="preserve"> </w:t>
      </w:r>
      <w:hyperlink w:anchor="tbl-substrate-mtwara">
        <w:r>
          <w:rPr>
            <w:rStyle w:val="Hyperlink"/>
          </w:rPr>
          <w:t xml:space="preserve">Table 7</w:t>
        </w:r>
      </w:hyperlink>
      <w:r>
        <w:t xml:space="preserve">.</w:t>
      </w:r>
      <w:r>
        <w:t xml:space="preserve"> </w:t>
      </w:r>
      <w:r>
        <w:rPr>
          <w:b/>
          <w:bCs/>
        </w:rPr>
        <w:t xml:space="preserve">Chamba Cha Kati</w:t>
      </w:r>
      <w:r>
        <w:t xml:space="preserve">, located within the Mnazi Bay Marine Managed Area (MMA), displayed exceptional reef health with a hard coral cover of 80.8% and a low prevalence of fleshy algae (7.5%). This high coral-to-algae ratio suggests a resilient ecosystem state, likely contributed by the long-term management and enforcement within the Mnazi Bay–Ruvuma Estuary Marine Park (MBREMP).</w:t>
      </w:r>
    </w:p>
    <w:tbl>
      <w:tblPr>
        <w:tblStyle w:val="Table"/>
        <w:tblW w:type="pct" w:w="5000"/>
        <w:tblLayout w:type="fixed"/>
        <w:tblLook w:firstRow="0" w:lastRow="0" w:firstColumn="0" w:lastColumn="0" w:noHBand="0" w:noVBand="0" w:val="0000"/>
      </w:tblPr>
      <w:tblGrid>
        <w:gridCol w:w="7920"/>
      </w:tblGrid>
      <w:tr>
        <w:tc>
          <w:tcPr/>
          <w:bookmarkStart w:id="75" w:name="tbl-substrate-mtwara"/>
          <w:p>
            <w:pPr>
              <w:jc w:val="center"/>
            </w:pPr>
            <w:pPr>
              <w:jc w:val="start"/>
              <w:spacing w:before="200"/>
              <w:pStyle w:val="ImageCaption"/>
            </w:pPr>
            <w:r>
              <w:t xml:space="preserve">Table 7: Benthic substrate composition across survey locations in Mtwara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Percentage Cover</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Substrate</w:t>
                  </w:r>
                </w:p>
              </w:tc>
              <w:tc>
                <w:tcPr>
                  <w:tcBorders>
                    <w:bottom w:val="single" w:sz="16" w:space="0" w:color="D3D3D3"/>
                  </w:tcBorders>
                </w:tcPr>
                <w:p>
                  <w:pPr>
                    <w:spacing w:before="0" w:after="60"/>
                    <w:keepNext/>
                    <w:jc w:val="center"/>
                  </w:pPr>
                  <w:r>
                    <w:rPr>
                      <w:rFonts w:ascii="Calibri" w:hAnsi="Calibri"/>
                      <w:sz w:val="20"/>
                    </w:rPr>
                    <w:t xml:space="default">Chamba Cha Kati</w:t>
                  </w:r>
                </w:p>
              </w:tc>
              <w:tc>
                <w:tcPr>
                  <w:tcBorders>
                    <w:bottom w:val="single" w:sz="16" w:space="0" w:color="D3D3D3"/>
                  </w:tcBorders>
                </w:tcPr>
                <w:p>
                  <w:pPr>
                    <w:spacing w:before="0" w:after="60"/>
                    <w:keepNext/>
                    <w:jc w:val="center"/>
                  </w:pPr>
                  <w:r>
                    <w:rPr>
                      <w:rFonts w:ascii="Calibri" w:hAnsi="Calibri"/>
                      <w:sz w:val="20"/>
                    </w:rPr>
                    <w:t xml:space="default">Nusura</w:t>
                  </w:r>
                </w:p>
              </w:tc>
              <w:tc>
                <w:tcPr>
                  <w:tcBorders>
                    <w:bottom w:val="single" w:sz="16" w:space="0" w:color="D3D3D3"/>
                    <w:end w:val="single" w:space="0" w:color="D3D3D3"/>
                  </w:tcBorders>
                </w:tcPr>
                <w:p>
                  <w:pPr>
                    <w:spacing w:before="0" w:after="60"/>
                    <w:keepNext/>
                    <w:jc w:val="end"/>
                  </w:pPr>
                  <w:r>
                    <w:rPr>
                      <w:rFonts w:ascii="Calibri" w:hAnsi="Calibri"/>
                      <w:sz w:val="20"/>
                    </w:rPr>
                    <w:t xml:space="default">Viulu</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Coralline</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5.5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center"/>
                  </w:pPr>
                  <w:r>
                    <w:rPr>
                      <w:rFonts w:ascii="Calibri" w:hAnsi="Calibri"/>
                      <w:sz w:val="20"/>
                      <w:color w:val="000000"/>
                    </w:rPr>
                    <w:t xml:space="default">8.8</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end"/>
                  </w:pPr>
                  <w:r>
                    <w:rPr>
                      <w:rFonts w:ascii="Calibri" w:hAnsi="Calibri"/>
                      <w:sz w:val="20"/>
                      <w:color w:val="000000"/>
                    </w:rPr>
                    <w:t xml:space="default">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Fleshy algae</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7.5</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17.2</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end"/>
                  </w:pPr>
                  <w:r>
                    <w:rPr>
                      <w:rFonts w:ascii="Calibri" w:hAnsi="Calibri"/>
                      <w:sz w:val="20"/>
                      <w:color w:val="FFFFFF"/>
                    </w:rPr>
                    <w:t xml:space="default">26.9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Hard Coral</w:t>
                  </w:r>
                </w:p>
              </w:tc>
              <w:tc>
                <w:tcPr>
                  <w:tcBorders>
                    <w:top w:val="single" w:space="0" w:color="D3D3D3"/>
                    <w:bottom w:val="single" w:space="0" w:color="D3D3D3"/>
                    <w:start w:val="single" w:space="0" w:color="D3D3D3"/>
                    <w:end w:val="single" w:space="0" w:color="D3D3D3"/>
                  </w:tcBorders>
                  <w:shd w:val="clear" w:color="auto" w:fill="A50F15"/>
                </w:tcPr>
                <w:p>
                  <w:pPr>
                    <w:spacing w:before="0" w:after="60"/>
                    <w:keepNext/>
                    <w:jc w:val="center"/>
                  </w:pPr>
                  <w:r>
                    <w:rPr>
                      <w:rFonts w:ascii="Calibri" w:hAnsi="Calibri"/>
                      <w:sz w:val="20"/>
                      <w:color w:val="FFFFFF"/>
                    </w:rPr>
                    <w:t xml:space="default">80.8</w:t>
                  </w:r>
                </w:p>
              </w:tc>
              <w:tc>
                <w:tcPr>
                  <w:tcBorders>
                    <w:top w:val="single" w:space="0" w:color="D3D3D3"/>
                    <w:bottom w:val="single" w:space="0" w:color="D3D3D3"/>
                    <w:start w:val="single" w:space="0" w:color="D3D3D3"/>
                    <w:end w:val="single" w:space="0" w:color="D3D3D3"/>
                  </w:tcBorders>
                  <w:shd w:val="clear" w:color="auto" w:fill="A50F15"/>
                </w:tcPr>
                <w:p>
                  <w:pPr>
                    <w:spacing w:before="0" w:after="60"/>
                    <w:keepNext/>
                    <w:jc w:val="center"/>
                  </w:pPr>
                  <w:r>
                    <w:rPr>
                      <w:rFonts w:ascii="Calibri" w:hAnsi="Calibri"/>
                      <w:sz w:val="20"/>
                      <w:color w:val="FFFFFF"/>
                    </w:rPr>
                    <w:t xml:space="default">65.8</w:t>
                  </w:r>
                </w:p>
              </w:tc>
              <w:tc>
                <w:tcPr>
                  <w:tcBorders>
                    <w:top w:val="single" w:space="0" w:color="D3D3D3"/>
                    <w:bottom w:val="single" w:space="0" w:color="D3D3D3"/>
                    <w:start w:val="single" w:space="0" w:color="D3D3D3"/>
                    <w:end w:val="single" w:space="0" w:color="D3D3D3"/>
                  </w:tcBorders>
                  <w:shd w:val="clear" w:color="auto" w:fill="A50F15"/>
                </w:tcPr>
                <w:p>
                  <w:pPr>
                    <w:spacing w:before="0" w:after="60"/>
                    <w:keepNext/>
                    <w:jc w:val="end"/>
                  </w:pPr>
                  <w:r>
                    <w:rPr>
                      <w:rFonts w:ascii="Calibri" w:hAnsi="Calibri"/>
                      <w:sz w:val="20"/>
                      <w:color w:val="FFFFFF"/>
                    </w:rPr>
                    <w:t xml:space="default">54.9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Sand</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center"/>
                  </w:pPr>
                  <w:r>
                    <w:rPr>
                      <w:rFonts w:ascii="Calibri" w:hAnsi="Calibri"/>
                      <w:sz w:val="20"/>
                      <w:color w:val="000000"/>
                    </w:rPr>
                    <w:t xml:space="default">3.0</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12.8</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end"/>
                  </w:pPr>
                  <w:r>
                    <w:rPr>
                      <w:rFonts w:ascii="Calibri" w:hAnsi="Calibri"/>
                      <w:sz w:val="20"/>
                      <w:color w:val="000000"/>
                    </w:rPr>
                    <w:t xml:space="default">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 coral</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1.9</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6.5</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end"/>
                  </w:pPr>
                  <w:r>
                    <w:rPr>
                      <w:rFonts w:ascii="Calibri" w:hAnsi="Calibri"/>
                      <w:sz w:val="20"/>
                      <w:color w:val="FFFFFF"/>
                    </w:rPr>
                    <w:t xml:space="default">13.1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Sponge</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3.0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end"/>
                  </w:pPr>
                  <w:r>
                    <w:rPr>
                      <w:rFonts w:ascii="Calibri" w:hAnsi="Calibri"/>
                      <w:sz w:val="20"/>
                      <w:color w:val="000000"/>
                    </w:rPr>
                    <w:t xml:space="default">1.1</w:t>
                  </w:r>
                </w:p>
              </w:tc>
            </w:tr>
          </w:tbl>
          <w:bookmarkEnd w:id="75"/>
        </w:tc>
      </w:tr>
    </w:tbl>
    <w:p>
      <w:pPr>
        <w:pStyle w:val="BodyText"/>
      </w:pPr>
      <w:r>
        <w:t xml:space="preserve">In contrast, sites situated outside the MBREMP showed varying degrees of composition (</w:t>
      </w:r>
      <w:hyperlink w:anchor="fig-substrate-mtwara">
        <w:r>
          <w:rPr>
            <w:rStyle w:val="Hyperlink"/>
          </w:rPr>
          <w:t xml:space="preserve">Figure 7</w:t>
        </w:r>
      </w:hyperlink>
      <w:r>
        <w:t xml:space="preserve">);</w:t>
      </w:r>
      <w:r>
        <w:t xml:space="preserve"> </w:t>
      </w:r>
      <w:r>
        <w:rPr>
          <w:b/>
          <w:bCs/>
        </w:rPr>
        <w:t xml:space="preserve">Nusura</w:t>
      </w:r>
      <w:r>
        <w:t xml:space="preserve"> </w:t>
      </w:r>
      <w:r>
        <w:t xml:space="preserve">and</w:t>
      </w:r>
      <w:r>
        <w:t xml:space="preserve"> </w:t>
      </w:r>
      <w:r>
        <w:rPr>
          <w:b/>
          <w:bCs/>
        </w:rPr>
        <w:t xml:space="preserve">Viulu</w:t>
      </w:r>
      <w:r>
        <w:t xml:space="preserve"> </w:t>
      </w:r>
      <w:r>
        <w:t xml:space="preserve">recorded 65.8% and 54.9% hard coral cover respectively, with Viulu exhibiting a higher dominance of fleshy algae (26.9%) and soft coral (13.1%).</w:t>
      </w:r>
    </w:p>
    <w:tbl>
      <w:tblPr>
        <w:tblStyle w:val="Table"/>
        <w:tblW w:type="pct" w:w="5000"/>
        <w:tblLayout w:type="fixed"/>
        <w:tblLook w:firstRow="0" w:lastRow="0" w:firstColumn="0" w:lastColumn="0" w:noHBand="0" w:noVBand="0" w:val="0000"/>
      </w:tblPr>
      <w:tblGrid>
        <w:gridCol w:w="7920"/>
      </w:tblGrid>
      <w:tr>
        <w:tc>
          <w:tcPr/>
          <w:bookmarkStart w:id="79" w:name="fig-substrate-mtwara"/>
          <w:p>
            <w:pPr>
              <w:pStyle w:val="Compact"/>
              <w:jc w:val="center"/>
            </w:pPr>
            <w:r>
              <w:drawing>
                <wp:inline>
                  <wp:extent cx="4620126" cy="3234088"/>
                  <wp:effectExtent b="0" l="0" r="0" t="0"/>
                  <wp:docPr descr="" title="" id="77" name="Picture"/>
                  <a:graphic>
                    <a:graphicData uri="http://schemas.openxmlformats.org/drawingml/2006/picture">
                      <pic:pic>
                        <pic:nvPicPr>
                          <pic:cNvPr descr="coral_reef_assessment_reportDraft1_files/figure-docx/fig-substrate-mtwara-1.png" id="78" name="Picture"/>
                          <pic:cNvPicPr>
                            <a:picLocks noChangeArrowheads="1" noChangeAspect="1"/>
                          </pic:cNvPicPr>
                        </pic:nvPicPr>
                        <pic:blipFill>
                          <a:blip r:embed="rId76"/>
                          <a:stretch>
                            <a:fillRect/>
                          </a:stretch>
                        </pic:blipFill>
                        <pic:spPr bwMode="auto">
                          <a:xfrm>
                            <a:off x="0" y="0"/>
                            <a:ext cx="4620126" cy="32340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Major benthic substrate composition in sampled areas in Mtwara</w:t>
            </w:r>
          </w:p>
          <w:bookmarkEnd w:id="79"/>
        </w:tc>
      </w:tr>
    </w:tbl>
    <w:bookmarkEnd w:id="80"/>
    <w:bookmarkStart w:id="86" w:name="sec-mtwara-fish"/>
    <w:p>
      <w:pPr>
        <w:pStyle w:val="Heading3"/>
      </w:pPr>
      <w:r>
        <w:t xml:space="preserve">3.2.2 Fish Biomass</w:t>
      </w:r>
    </w:p>
    <w:p>
      <w:pPr>
        <w:pStyle w:val="FirstParagraph"/>
      </w:pPr>
    </w:p>
    <w:p>
      <w:pPr>
        <w:pStyle w:val="BodyText"/>
      </w:pPr>
      <w:r>
        <w:t xml:space="preserve">Fish assemblages in Mtwara were characterized by high spatial variability in density and family composition (</w:t>
      </w:r>
      <w:hyperlink w:anchor="fig-fish-biomass-mtwara-error">
        <w:r>
          <w:rPr>
            <w:rStyle w:val="Hyperlink"/>
          </w:rPr>
          <w:t xml:space="preserve">Figure 8</w:t>
        </w:r>
      </w:hyperlink>
      <w:r>
        <w:t xml:space="preserve">).</w:t>
      </w:r>
      <w:r>
        <w:t xml:space="preserve"> </w:t>
      </w:r>
      <w:r>
        <w:rPr>
          <w:b/>
          <w:bCs/>
        </w:rPr>
        <w:t xml:space="preserve">Chamba Cha Kati</w:t>
      </w:r>
      <w:r>
        <w:t xml:space="preserve"> </w:t>
      </w:r>
      <w:r>
        <w:t xml:space="preserve">(Mnazi Bay) exhibited the highest overall fish densities, dominated by Pomacentridae (254.6 individuals per 100 m</w:t>
      </w:r>
      <w:r>
        <w:rPr>
          <w:vertAlign w:val="superscript"/>
        </w:rPr>
        <w:t xml:space="preserve">2</w:t>
      </w:r>
      <w:r>
        <w:t xml:space="preserve">), which was nearly ten times higher than densities recorded at</w:t>
      </w:r>
      <w:r>
        <w:t xml:space="preserve"> </w:t>
      </w:r>
      <w:r>
        <w:rPr>
          <w:b/>
          <w:bCs/>
        </w:rPr>
        <w:t xml:space="preserve">Nusura</w:t>
      </w:r>
      <w:r>
        <w:t xml:space="preserve"> </w:t>
      </w:r>
      <w:r>
        <w:t xml:space="preserve">(26.0) and</w:t>
      </w:r>
      <w:r>
        <w:t xml:space="preserve"> </w:t>
      </w:r>
      <w:r>
        <w:rPr>
          <w:b/>
          <w:bCs/>
        </w:rPr>
        <w:t xml:space="preserve">Viulu</w:t>
      </w:r>
      <w:r>
        <w:t xml:space="preserve"> </w:t>
      </w:r>
      <w:r>
        <w:t xml:space="preserve">(22.0) (</w:t>
      </w:r>
      <w:hyperlink w:anchor="tbl-fish-biomass-mtwara">
        <w:r>
          <w:rPr>
            <w:rStyle w:val="Hyperlink"/>
          </w:rPr>
          <w:t xml:space="preserve">Table 8</w:t>
        </w:r>
      </w:hyperlink>
      <w:r>
        <w:t xml:space="preserve">).</w:t>
      </w:r>
    </w:p>
    <w:p>
      <w:pPr>
        <w:pStyle w:val="BodyText"/>
      </w:pPr>
      <w:r>
        <w:t xml:space="preserve">Herbivorous families such as Scaridae and Acanthuridae were consistently present across all sites, with the highest Scaridae density at Chamba Cha Kati (11.0). In contrast,</w:t>
      </w:r>
      <w:r>
        <w:t xml:space="preserve"> </w:t>
      </w:r>
      <w:r>
        <w:rPr>
          <w:b/>
          <w:bCs/>
        </w:rPr>
        <w:t xml:space="preserve">Viulu</w:t>
      </w:r>
      <w:r>
        <w:t xml:space="preserve"> </w:t>
      </w:r>
      <w:r>
        <w:t xml:space="preserve">supported higher densities of Siganidae (4.4) and Mullidae (5.0) compared to other sites. While Chamba Cha Kati was unique in hosting families like Holocentridae and Balistidae, the non-MMA sites Nusura and Viulu supported higher densities of Lethrinidae and Pomacanthidae. These results indicate that while the protected Chamba Cha Kati reef maintains superior biomass and damselfish abundance, the surrounding reefs still support diverse functional groups essential for reef resilience.</w:t>
      </w:r>
    </w:p>
    <w:tbl>
      <w:tblPr>
        <w:tblStyle w:val="Table"/>
        <w:tblW w:type="pct" w:w="5000"/>
        <w:tblLayout w:type="fixed"/>
        <w:tblLook w:firstRow="0" w:lastRow="0" w:firstColumn="0" w:lastColumn="0" w:noHBand="0" w:noVBand="0" w:val="0000"/>
      </w:tblPr>
      <w:tblGrid>
        <w:gridCol w:w="7920"/>
      </w:tblGrid>
      <w:tr>
        <w:tc>
          <w:tcPr/>
          <w:bookmarkStart w:id="81" w:name="tbl-fish-biomass-mtwara"/>
          <w:p>
            <w:pPr>
              <w:jc w:val="center"/>
            </w:pPr>
            <w:pPr>
              <w:jc w:val="start"/>
              <w:spacing w:before="200"/>
              <w:pStyle w:val="ImageCaption"/>
            </w:pPr>
            <w:r>
              <w:t xml:space="preserve">Table 8: Mean fish density (individuals per 100 m</w:t>
            </w:r>
            <w:r>
              <w:rPr>
                <w:vertAlign w:val="superscript"/>
              </w:rPr>
              <w:t xml:space="preserve">2</w:t>
            </w:r>
            <w:r>
              <w:t xml:space="preserve">) by family across the surveyed reefs in Mtwara. Values represent the median density observed across all transects per site.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preserve">Fish Density (individuals per 100m^2^)</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Family</w:t>
                  </w:r>
                </w:p>
              </w:tc>
              <w:tc>
                <w:tcPr>
                  <w:tcBorders>
                    <w:bottom w:val="single" w:sz="16" w:space="0" w:color="D3D3D3"/>
                  </w:tcBorders>
                </w:tcPr>
                <w:p>
                  <w:pPr>
                    <w:spacing w:before="0" w:after="60"/>
                    <w:keepNext/>
                    <w:jc w:val="center"/>
                  </w:pPr>
                  <w:r>
                    <w:rPr>
                      <w:rFonts w:ascii="Calibri" w:hAnsi="Calibri"/>
                      <w:sz w:val="20"/>
                    </w:rPr>
                    <w:t xml:space="default">Chamba Cha Kati</w:t>
                  </w:r>
                </w:p>
              </w:tc>
              <w:tc>
                <w:tcPr>
                  <w:tcBorders>
                    <w:bottom w:val="single" w:sz="16" w:space="0" w:color="D3D3D3"/>
                  </w:tcBorders>
                </w:tcPr>
                <w:p>
                  <w:pPr>
                    <w:spacing w:before="0" w:after="60"/>
                    <w:keepNext/>
                    <w:jc w:val="center"/>
                  </w:pPr>
                  <w:r>
                    <w:rPr>
                      <w:rFonts w:ascii="Calibri" w:hAnsi="Calibri"/>
                      <w:sz w:val="20"/>
                    </w:rPr>
                    <w:t xml:space="default">Nusura</w:t>
                  </w:r>
                </w:p>
              </w:tc>
              <w:tc>
                <w:tcPr>
                  <w:tcBorders>
                    <w:bottom w:val="single" w:sz="16" w:space="0" w:color="D3D3D3"/>
                    <w:end w:val="single" w:space="0" w:color="D3D3D3"/>
                  </w:tcBorders>
                </w:tcPr>
                <w:p>
                  <w:pPr>
                    <w:spacing w:before="0" w:after="60"/>
                    <w:keepNext/>
                    <w:jc w:val="center"/>
                  </w:pPr>
                  <w:r>
                    <w:rPr>
                      <w:rFonts w:ascii="Calibri" w:hAnsi="Calibri"/>
                      <w:sz w:val="20"/>
                    </w:rPr>
                    <w:t xml:space="default">Viulu</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Pomacentridae</w:t>
                  </w:r>
                </w:p>
              </w:tc>
              <w:tc>
                <w:tcPr>
                  <w:tcBorders>
                    <w:top w:val="single" w:space="0" w:color="D3D3D3"/>
                    <w:bottom w:val="single" w:space="0" w:color="D3D3D3"/>
                    <w:start w:val="single" w:space="0" w:color="D3D3D3"/>
                    <w:end w:val="single" w:space="0" w:color="D3D3D3"/>
                  </w:tcBorders>
                  <w:shd w:val="clear" w:color="auto" w:fill="67000D"/>
                </w:tcPr>
                <w:p>
                  <w:pPr>
                    <w:spacing w:before="0" w:after="60"/>
                    <w:keepNext/>
                    <w:jc w:val="center"/>
                  </w:pPr>
                  <w:r>
                    <w:rPr>
                      <w:rFonts w:ascii="Calibri" w:hAnsi="Calibri"/>
                      <w:sz w:val="20"/>
                      <w:color w:val="FFFFFF"/>
                    </w:rPr>
                    <w:t xml:space="default">254.6</w:t>
                  </w:r>
                </w:p>
              </w:tc>
              <w:tc>
                <w:tcPr>
                  <w:tcBorders>
                    <w:top w:val="single" w:space="0" w:color="D3D3D3"/>
                    <w:bottom w:val="single" w:space="0" w:color="D3D3D3"/>
                    <w:start w:val="single" w:space="0" w:color="D3D3D3"/>
                    <w:end w:val="single" w:space="0" w:color="D3D3D3"/>
                  </w:tcBorders>
                  <w:shd w:val="clear" w:color="auto" w:fill="67000D"/>
                </w:tcPr>
                <w:p>
                  <w:pPr>
                    <w:spacing w:before="0" w:after="60"/>
                    <w:keepNext/>
                    <w:jc w:val="center"/>
                  </w:pPr>
                  <w:r>
                    <w:rPr>
                      <w:rFonts w:ascii="Calibri" w:hAnsi="Calibri"/>
                      <w:sz w:val="20"/>
                      <w:color w:val="FFFFFF"/>
                    </w:rPr>
                    <w:t xml:space="default">26.0</w:t>
                  </w:r>
                </w:p>
              </w:tc>
              <w:tc>
                <w:tcPr>
                  <w:tcBorders>
                    <w:top w:val="single" w:space="0" w:color="D3D3D3"/>
                    <w:bottom w:val="single" w:space="0" w:color="D3D3D3"/>
                    <w:start w:val="single" w:space="0" w:color="D3D3D3"/>
                    <w:end w:val="single" w:space="0" w:color="D3D3D3"/>
                  </w:tcBorders>
                  <w:shd w:val="clear" w:color="auto" w:fill="67000D"/>
                </w:tcPr>
                <w:p>
                  <w:pPr>
                    <w:spacing w:before="0" w:after="60"/>
                    <w:keepNext/>
                    <w:jc w:val="center"/>
                  </w:pPr>
                  <w:r>
                    <w:rPr>
                      <w:rFonts w:ascii="Calibri" w:hAnsi="Calibri"/>
                      <w:sz w:val="20"/>
                      <w:color w:val="FFFFFF"/>
                    </w:rPr>
                    <w:t xml:space="default">22.0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Scaridae</w:t>
                  </w:r>
                </w:p>
              </w:tc>
              <w:tc>
                <w:tcPr>
                  <w:tcBorders>
                    <w:top w:val="single" w:space="0" w:color="D3D3D3"/>
                    <w:bottom w:val="single" w:space="0" w:color="D3D3D3"/>
                    <w:start w:val="single" w:space="0" w:color="D3D3D3"/>
                    <w:end w:val="single" w:space="0" w:color="D3D3D3"/>
                  </w:tcBorders>
                  <w:shd w:val="clear" w:color="auto" w:fill="9E0D14"/>
                </w:tcPr>
                <w:p>
                  <w:pPr>
                    <w:spacing w:before="0" w:after="60"/>
                    <w:keepNext/>
                    <w:jc w:val="center"/>
                  </w:pPr>
                  <w:r>
                    <w:rPr>
                      <w:rFonts w:ascii="Calibri" w:hAnsi="Calibri"/>
                      <w:sz w:val="20"/>
                      <w:color w:val="FFFFFF"/>
                    </w:rPr>
                    <w:t xml:space="default">11.0</w:t>
                  </w:r>
                </w:p>
              </w:tc>
              <w:tc>
                <w:tcPr>
                  <w:tcBorders>
                    <w:top w:val="single" w:space="0" w:color="D3D3D3"/>
                    <w:bottom w:val="single" w:space="0" w:color="D3D3D3"/>
                    <w:start w:val="single" w:space="0" w:color="D3D3D3"/>
                    <w:end w:val="single" w:space="0" w:color="D3D3D3"/>
                  </w:tcBorders>
                  <w:shd w:val="clear" w:color="auto" w:fill="C2161B"/>
                </w:tcPr>
                <w:p>
                  <w:pPr>
                    <w:spacing w:before="0" w:after="60"/>
                    <w:keepNext/>
                    <w:jc w:val="center"/>
                  </w:pPr>
                  <w:r>
                    <w:rPr>
                      <w:rFonts w:ascii="Calibri" w:hAnsi="Calibri"/>
                      <w:sz w:val="20"/>
                      <w:color w:val="FFFFFF"/>
                    </w:rPr>
                    <w:t xml:space="default">10.6</w:t>
                  </w:r>
                </w:p>
              </w:tc>
              <w:tc>
                <w:tcPr>
                  <w:tcBorders>
                    <w:top w:val="single" w:space="0" w:color="D3D3D3"/>
                    <w:bottom w:val="single" w:space="0" w:color="D3D3D3"/>
                    <w:start w:val="single" w:space="0" w:color="D3D3D3"/>
                    <w:end w:val="single" w:space="0" w:color="D3D3D3"/>
                  </w:tcBorders>
                  <w:shd w:val="clear" w:color="auto" w:fill="900913"/>
                </w:tcPr>
                <w:p>
                  <w:pPr>
                    <w:spacing w:before="0" w:after="60"/>
                    <w:keepNext/>
                    <w:jc w:val="center"/>
                  </w:pPr>
                  <w:r>
                    <w:rPr>
                      <w:rFonts w:ascii="Calibri" w:hAnsi="Calibri"/>
                      <w:sz w:val="20"/>
                      <w:color w:val="FFFFFF"/>
                    </w:rPr>
                    <w:t xml:space="default">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Labridae</w:t>
                  </w:r>
                </w:p>
              </w:tc>
              <w:tc>
                <w:tcPr>
                  <w:tcBorders>
                    <w:top w:val="single" w:space="0" w:color="D3D3D3"/>
                    <w:bottom w:val="single" w:space="0" w:color="D3D3D3"/>
                    <w:start w:val="single" w:space="0" w:color="D3D3D3"/>
                    <w:end w:val="single" w:space="0" w:color="D3D3D3"/>
                  </w:tcBorders>
                  <w:shd w:val="clear" w:color="auto" w:fill="C2161B"/>
                </w:tcPr>
                <w:p>
                  <w:pPr>
                    <w:spacing w:before="0" w:after="60"/>
                    <w:keepNext/>
                    <w:jc w:val="center"/>
                  </w:pPr>
                  <w:r>
                    <w:rPr>
                      <w:rFonts w:ascii="Calibri" w:hAnsi="Calibri"/>
                      <w:sz w:val="20"/>
                      <w:color w:val="FFFFFF"/>
                    </w:rPr>
                    <w:t xml:space="default">7.4</w:t>
                  </w:r>
                </w:p>
              </w:tc>
              <w:tc>
                <w:tcPr>
                  <w:tcBorders>
                    <w:top w:val="single" w:space="0" w:color="D3D3D3"/>
                    <w:bottom w:val="single" w:space="0" w:color="D3D3D3"/>
                    <w:start w:val="single" w:space="0" w:color="D3D3D3"/>
                    <w:end w:val="single" w:space="0" w:color="D3D3D3"/>
                  </w:tcBorders>
                  <w:shd w:val="clear" w:color="auto" w:fill="9E0D14"/>
                </w:tcPr>
                <w:p>
                  <w:pPr>
                    <w:spacing w:before="0" w:after="60"/>
                    <w:keepNext/>
                    <w:jc w:val="center"/>
                  </w:pPr>
                  <w:r>
                    <w:rPr>
                      <w:rFonts w:ascii="Calibri" w:hAnsi="Calibri"/>
                      <w:sz w:val="20"/>
                      <w:color w:val="FFFFFF"/>
                    </w:rPr>
                    <w:t xml:space="default">11.0</w:t>
                  </w:r>
                </w:p>
              </w:tc>
              <w:tc>
                <w:tcPr>
                  <w:tcBorders>
                    <w:top w:val="single" w:space="0" w:color="D3D3D3"/>
                    <w:bottom w:val="single" w:space="0" w:color="D3D3D3"/>
                    <w:start w:val="single" w:space="0" w:color="D3D3D3"/>
                    <w:end w:val="single" w:space="0" w:color="D3D3D3"/>
                  </w:tcBorders>
                  <w:shd w:val="clear" w:color="auto" w:fill="B21218"/>
                </w:tcPr>
                <w:p>
                  <w:pPr>
                    <w:spacing w:before="0" w:after="60"/>
                    <w:keepNext/>
                    <w:jc w:val="center"/>
                  </w:pPr>
                  <w:r>
                    <w:rPr>
                      <w:rFonts w:ascii="Calibri" w:hAnsi="Calibri"/>
                      <w:sz w:val="20"/>
                      <w:color w:val="FFFFFF"/>
                    </w:rPr>
                    <w:t xml:space="default">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Acanthuridae</w:t>
                  </w:r>
                </w:p>
              </w:tc>
              <w:tc>
                <w:tcPr>
                  <w:tcBorders>
                    <w:top w:val="single" w:space="0" w:color="D3D3D3"/>
                    <w:bottom w:val="single" w:space="0" w:color="D3D3D3"/>
                    <w:start w:val="single" w:space="0" w:color="D3D3D3"/>
                    <w:end w:val="single" w:space="0" w:color="D3D3D3"/>
                  </w:tcBorders>
                  <w:shd w:val="clear" w:color="auto" w:fill="E33127"/>
                </w:tcPr>
                <w:p>
                  <w:pPr>
                    <w:spacing w:before="0" w:after="60"/>
                    <w:keepNext/>
                    <w:jc w:val="center"/>
                  </w:pPr>
                  <w:r>
                    <w:rPr>
                      <w:rFonts w:ascii="Calibri" w:hAnsi="Calibri"/>
                      <w:sz w:val="20"/>
                      <w:color w:val="FFFFFF"/>
                    </w:rPr>
                    <w:t xml:space="default">5.0</w:t>
                  </w:r>
                </w:p>
              </w:tc>
              <w:tc>
                <w:tcPr>
                  <w:tcBorders>
                    <w:top w:val="single" w:space="0" w:color="D3D3D3"/>
                    <w:bottom w:val="single" w:space="0" w:color="D3D3D3"/>
                    <w:start w:val="single" w:space="0" w:color="D3D3D3"/>
                    <w:end w:val="single" w:space="0" w:color="D3D3D3"/>
                  </w:tcBorders>
                  <w:shd w:val="clear" w:color="auto" w:fill="E33127"/>
                </w:tcPr>
                <w:p>
                  <w:pPr>
                    <w:spacing w:before="0" w:after="60"/>
                    <w:keepNext/>
                    <w:jc w:val="center"/>
                  </w:pPr>
                  <w:r>
                    <w:rPr>
                      <w:rFonts w:ascii="Calibri" w:hAnsi="Calibri"/>
                      <w:sz w:val="20"/>
                      <w:color w:val="FFFFFF"/>
                    </w:rPr>
                    <w:t xml:space="default">3.6</w:t>
                  </w:r>
                </w:p>
              </w:tc>
              <w:tc>
                <w:tcPr>
                  <w:tcBorders>
                    <w:top w:val="single" w:space="0" w:color="D3D3D3"/>
                    <w:bottom w:val="single" w:space="0" w:color="D3D3D3"/>
                    <w:start w:val="single" w:space="0" w:color="D3D3D3"/>
                    <w:end w:val="single" w:space="0" w:color="D3D3D3"/>
                  </w:tcBorders>
                  <w:shd w:val="clear" w:color="auto" w:fill="F34D36"/>
                </w:tcPr>
                <w:p>
                  <w:pPr>
                    <w:spacing w:before="0" w:after="60"/>
                    <w:keepNext/>
                    <w:jc w:val="center"/>
                  </w:pPr>
                  <w:r>
                    <w:rPr>
                      <w:rFonts w:ascii="Calibri" w:hAnsi="Calibri"/>
                      <w:sz w:val="20"/>
                      <w:color w:val="FFFFFF"/>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Holocentridae</w:t>
                  </w:r>
                </w:p>
              </w:tc>
              <w:tc>
                <w:tcPr>
                  <w:tcBorders>
                    <w:top w:val="single" w:space="0" w:color="D3D3D3"/>
                    <w:bottom w:val="single" w:space="0" w:color="D3D3D3"/>
                    <w:start w:val="single" w:space="0" w:color="D3D3D3"/>
                    <w:end w:val="single" w:space="0" w:color="D3D3D3"/>
                  </w:tcBorders>
                  <w:shd w:val="clear" w:color="auto" w:fill="F6573D"/>
                </w:tcPr>
                <w:p>
                  <w:pPr>
                    <w:spacing w:before="0" w:after="60"/>
                    <w:keepNext/>
                    <w:jc w:val="center"/>
                  </w:pPr>
                  <w:r>
                    <w:rPr>
                      <w:rFonts w:ascii="Calibri" w:hAnsi="Calibri"/>
                      <w:sz w:val="20"/>
                      <w:color w:val="FFFFFF"/>
                    </w:rPr>
                    <w:t xml:space="default">3.8</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Chaetodontidae</w:t>
                  </w:r>
                </w:p>
              </w:tc>
              <w:tc>
                <w:tcPr>
                  <w:tcBorders>
                    <w:top w:val="single" w:space="0" w:color="D3D3D3"/>
                    <w:bottom w:val="single" w:space="0" w:color="D3D3D3"/>
                    <w:start w:val="single" w:space="0" w:color="D3D3D3"/>
                    <w:end w:val="single" w:space="0" w:color="D3D3D3"/>
                  </w:tcBorders>
                  <w:shd w:val="clear" w:color="auto" w:fill="FC7C5C"/>
                </w:tcPr>
                <w:p>
                  <w:pPr>
                    <w:spacing w:before="0" w:after="60"/>
                    <w:keepNext/>
                    <w:jc w:val="center"/>
                  </w:pPr>
                  <w:r>
                    <w:rPr>
                      <w:rFonts w:ascii="Calibri" w:hAnsi="Calibri"/>
                      <w:sz w:val="20"/>
                      <w:color w:val="FFFFFF"/>
                    </w:rPr>
                    <w:t xml:space="default">3.6</w:t>
                  </w:r>
                </w:p>
              </w:tc>
              <w:tc>
                <w:tcPr>
                  <w:tcBorders>
                    <w:top w:val="single" w:space="0" w:color="D3D3D3"/>
                    <w:bottom w:val="single" w:space="0" w:color="D3D3D3"/>
                    <w:start w:val="single" w:space="0" w:color="D3D3D3"/>
                    <w:end w:val="single" w:space="0" w:color="D3D3D3"/>
                  </w:tcBorders>
                  <w:shd w:val="clear" w:color="auto" w:fill="FEE2D5"/>
                </w:tcPr>
                <w:p>
                  <w:pPr>
                    <w:spacing w:before="0" w:after="60"/>
                    <w:keepNext/>
                    <w:jc w:val="center"/>
                  </w:pPr>
                  <w:r>
                    <w:rPr>
                      <w:rFonts w:ascii="Calibri" w:hAnsi="Calibri"/>
                      <w:sz w:val="20"/>
                      <w:color w:val="000000"/>
                    </w:rPr>
                    <w:t xml:space="default">1.0</w:t>
                  </w:r>
                </w:p>
              </w:tc>
              <w:tc>
                <w:tcPr>
                  <w:tcBorders>
                    <w:top w:val="single" w:space="0" w:color="D3D3D3"/>
                    <w:bottom w:val="single" w:space="0" w:color="D3D3D3"/>
                    <w:start w:val="single" w:space="0" w:color="D3D3D3"/>
                    <w:end w:val="single" w:space="0" w:color="D3D3D3"/>
                  </w:tcBorders>
                  <w:shd w:val="clear" w:color="auto" w:fill="FDA081"/>
                </w:tcPr>
                <w:p>
                  <w:pPr>
                    <w:spacing w:before="0" w:after="60"/>
                    <w:keepNext/>
                    <w:jc w:val="center"/>
                  </w:pPr>
                  <w:r>
                    <w:rPr>
                      <w:rFonts w:ascii="Calibri" w:hAnsi="Calibri"/>
                      <w:sz w:val="20"/>
                      <w:color w:val="00000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Mullidae</w:t>
                  </w:r>
                </w:p>
              </w:tc>
              <w:tc>
                <w:tcPr>
                  <w:tcBorders>
                    <w:top w:val="single" w:space="0" w:color="D3D3D3"/>
                    <w:bottom w:val="single" w:space="0" w:color="D3D3D3"/>
                    <w:start w:val="single" w:space="0" w:color="D3D3D3"/>
                    <w:end w:val="single" w:space="0" w:color="D3D3D3"/>
                  </w:tcBorders>
                  <w:shd w:val="clear" w:color="auto" w:fill="FDA081"/>
                </w:tcPr>
                <w:p>
                  <w:pPr>
                    <w:spacing w:before="0" w:after="60"/>
                    <w:keepNext/>
                    <w:jc w:val="center"/>
                  </w:pPr>
                  <w:r>
                    <w:rPr>
                      <w:rFonts w:ascii="Calibri" w:hAnsi="Calibri"/>
                      <w:sz w:val="20"/>
                      <w:color w:val="000000"/>
                    </w:rPr>
                    <w:t xml:space="default">1.6</w:t>
                  </w:r>
                </w:p>
              </w:tc>
              <w:tc>
                <w:tcPr>
                  <w:tcBorders>
                    <w:top w:val="single" w:space="0" w:color="D3D3D3"/>
                    <w:bottom w:val="single" w:space="0" w:color="D3D3D3"/>
                    <w:start w:val="single" w:space="0" w:color="D3D3D3"/>
                    <w:end w:val="single" w:space="0" w:color="D3D3D3"/>
                  </w:tcBorders>
                  <w:shd w:val="clear" w:color="auto" w:fill="E33127"/>
                </w:tcPr>
                <w:p>
                  <w:pPr>
                    <w:spacing w:before="0" w:after="60"/>
                    <w:keepNext/>
                    <w:jc w:val="center"/>
                  </w:pPr>
                  <w:r>
                    <w:rPr>
                      <w:rFonts w:ascii="Calibri" w:hAnsi="Calibri"/>
                      <w:sz w:val="20"/>
                      <w:color w:val="FFFFFF"/>
                    </w:rPr>
                    <w:t xml:space="default">3.6</w:t>
                  </w:r>
                </w:p>
              </w:tc>
              <w:tc>
                <w:tcPr>
                  <w:tcBorders>
                    <w:top w:val="single" w:space="0" w:color="D3D3D3"/>
                    <w:bottom w:val="single" w:space="0" w:color="D3D3D3"/>
                    <w:start w:val="single" w:space="0" w:color="D3D3D3"/>
                    <w:end w:val="single" w:space="0" w:color="D3D3D3"/>
                  </w:tcBorders>
                  <w:shd w:val="clear" w:color="auto" w:fill="CB181D"/>
                </w:tcPr>
                <w:p>
                  <w:pPr>
                    <w:spacing w:before="0" w:after="60"/>
                    <w:keepNext/>
                    <w:jc w:val="center"/>
                  </w:pPr>
                  <w:r>
                    <w:rPr>
                      <w:rFonts w:ascii="Calibri" w:hAnsi="Calibri"/>
                      <w:sz w:val="20"/>
                      <w:color w:val="FFFFFF"/>
                    </w:rPr>
                    <w:t xml:space="default">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Diodontidae</w:t>
                  </w:r>
                </w:p>
              </w:tc>
              <w:tc>
                <w:tcPr>
                  <w:tcBorders>
                    <w:top w:val="single" w:space="0" w:color="D3D3D3"/>
                    <w:bottom w:val="single" w:space="0" w:color="D3D3D3"/>
                    <w:start w:val="single" w:space="0" w:color="D3D3D3"/>
                    <w:end w:val="single" w:space="0" w:color="D3D3D3"/>
                  </w:tcBorders>
                  <w:shd w:val="clear" w:color="auto" w:fill="FDC3AC"/>
                </w:tcPr>
                <w:p>
                  <w:pPr>
                    <w:spacing w:before="0" w:after="60"/>
                    <w:keepNext/>
                    <w:jc w:val="center"/>
                  </w:pPr>
                  <w:r>
                    <w:rPr>
                      <w:rFonts w:ascii="Calibri" w:hAnsi="Calibri"/>
                      <w:sz w:val="20"/>
                      <w:color w:val="000000"/>
                    </w:rPr>
                    <w:t xml:space="default">1.2</w:t>
                  </w:r>
                </w:p>
              </w:tc>
              <w:tc>
                <w:tcPr>
                  <w:tcBorders>
                    <w:top w:val="single" w:space="0" w:color="D3D3D3"/>
                    <w:bottom w:val="single" w:space="0" w:color="D3D3D3"/>
                    <w:start w:val="single" w:space="0" w:color="D3D3D3"/>
                    <w:end w:val="single" w:space="0" w:color="D3D3D3"/>
                  </w:tcBorders>
                  <w:shd w:val="clear" w:color="auto" w:fill="FDC3AC"/>
                </w:tcPr>
                <w:p>
                  <w:pPr>
                    <w:spacing w:before="0" w:after="60"/>
                    <w:keepNext/>
                    <w:jc w:val="center"/>
                  </w:pPr>
                  <w:r>
                    <w:rPr>
                      <w:rFonts w:ascii="Calibri" w:hAnsi="Calibri"/>
                      <w:sz w:val="20"/>
                      <w:color w:val="000000"/>
                    </w:rPr>
                    <w:t xml:space="default">1.2</w:t>
                  </w:r>
                </w:p>
              </w:tc>
              <w:tc>
                <w:tcPr>
                  <w:tcBorders>
                    <w:top w:val="single" w:space="0" w:color="D3D3D3"/>
                    <w:bottom w:val="single" w:space="0" w:color="D3D3D3"/>
                    <w:start w:val="single" w:space="0" w:color="D3D3D3"/>
                    <w:end w:val="single" w:space="0" w:color="D3D3D3"/>
                  </w:tcBorders>
                  <w:shd w:val="clear" w:color="auto" w:fill="FDA081"/>
                </w:tcPr>
                <w:p>
                  <w:pPr>
                    <w:spacing w:before="0" w:after="60"/>
                    <w:keepNext/>
                    <w:jc w:val="center"/>
                  </w:pPr>
                  <w:r>
                    <w:rPr>
                      <w:rFonts w:ascii="Calibri" w:hAnsi="Calibri"/>
                      <w:sz w:val="20"/>
                      <w:color w:val="00000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Balistidae</w:t>
                  </w:r>
                </w:p>
              </w:tc>
              <w:tc>
                <w:tcPr>
                  <w:tcBorders>
                    <w:top w:val="single" w:space="0" w:color="D3D3D3"/>
                    <w:bottom w:val="single" w:space="0" w:color="D3D3D3"/>
                    <w:start w:val="single" w:space="0" w:color="D3D3D3"/>
                    <w:end w:val="single" w:space="0" w:color="D3D3D3"/>
                  </w:tcBorders>
                  <w:shd w:val="clear" w:color="auto" w:fill="FEE2D5"/>
                </w:tcPr>
                <w:p>
                  <w:pPr>
                    <w:spacing w:before="0" w:after="60"/>
                    <w:keepNext/>
                    <w:jc w:val="center"/>
                  </w:pPr>
                  <w:r>
                    <w:rPr>
                      <w:rFonts w:ascii="Calibri" w:hAnsi="Calibri"/>
                      <w:sz w:val="20"/>
                      <w:color w:val="000000"/>
                    </w:rPr>
                    <w:t xml:space="default">0.8</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Siganidae</w:t>
                  </w:r>
                </w:p>
              </w:tc>
              <w:tc>
                <w:tcPr>
                  <w:tcBorders>
                    <w:top w:val="single" w:space="0" w:color="D3D3D3"/>
                    <w:bottom w:val="single" w:space="0" w:color="D3D3D3"/>
                    <w:start w:val="single" w:space="0" w:color="D3D3D3"/>
                    <w:end w:val="single" w:space="0" w:color="D3D3D3"/>
                  </w:tcBorders>
                  <w:shd w:val="clear" w:color="auto" w:fill="FEE2D5"/>
                </w:tcPr>
                <w:p>
                  <w:pPr>
                    <w:spacing w:before="0" w:after="60"/>
                    <w:keepNext/>
                    <w:jc w:val="center"/>
                  </w:pPr>
                  <w:r>
                    <w:rPr>
                      <w:rFonts w:ascii="Calibri" w:hAnsi="Calibri"/>
                      <w:sz w:val="20"/>
                      <w:color w:val="000000"/>
                    </w:rPr>
                    <w:t xml:space="default">0.8</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E33127"/>
                </w:tcPr>
                <w:p>
                  <w:pPr>
                    <w:spacing w:before="0" w:after="60"/>
                    <w:keepNext/>
                    <w:jc w:val="center"/>
                  </w:pPr>
                  <w:r>
                    <w:rPr>
                      <w:rFonts w:ascii="Calibri" w:hAnsi="Calibri"/>
                      <w:sz w:val="20"/>
                      <w:color w:val="FFFFFF"/>
                    </w:rPr>
                    <w:t xml:space="default">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Fistularidae</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center"/>
                  </w:pPr>
                  <w:r>
                    <w:rPr>
                      <w:rFonts w:ascii="Calibri" w:hAnsi="Calibri"/>
                      <w:sz w:val="20"/>
                      <w:color w:val="000000"/>
                    </w:rPr>
                    <w:t xml:space="default">0.4</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Scorpaenidae</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center"/>
                  </w:pPr>
                  <w:r>
                    <w:rPr>
                      <w:rFonts w:ascii="Calibri" w:hAnsi="Calibri"/>
                      <w:sz w:val="20"/>
                      <w:color w:val="000000"/>
                    </w:rPr>
                    <w:t xml:space="default">0.4</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Lethrinidae</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C7C5C"/>
                </w:tcPr>
                <w:p>
                  <w:pPr>
                    <w:spacing w:before="0" w:after="60"/>
                    <w:keepNext/>
                    <w:jc w:val="center"/>
                  </w:pPr>
                  <w:r>
                    <w:rPr>
                      <w:rFonts w:ascii="Calibri" w:hAnsi="Calibri"/>
                      <w:sz w:val="20"/>
                      <w:color w:val="FFFFFF"/>
                    </w:rPr>
                    <w:t xml:space="default">2.0</w:t>
                  </w:r>
                </w:p>
              </w:tc>
              <w:tc>
                <w:tcPr>
                  <w:tcBorders>
                    <w:top w:val="single" w:space="0" w:color="D3D3D3"/>
                    <w:bottom w:val="single" w:space="0" w:color="D3D3D3"/>
                    <w:start w:val="single" w:space="0" w:color="D3D3D3"/>
                    <w:end w:val="single" w:space="0" w:color="D3D3D3"/>
                  </w:tcBorders>
                  <w:shd w:val="clear" w:color="auto" w:fill="FC8565"/>
                </w:tcPr>
                <w:p>
                  <w:pPr>
                    <w:spacing w:before="0" w:after="60"/>
                    <w:keepNext/>
                    <w:jc w:val="center"/>
                  </w:pPr>
                  <w:r>
                    <w:rPr>
                      <w:rFonts w:ascii="Calibri" w:hAnsi="Calibri"/>
                      <w:sz w:val="20"/>
                      <w:color w:val="00000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Lutjanidae/Nemipteridae</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DC3AC"/>
                </w:tcPr>
                <w:p>
                  <w:pPr>
                    <w:spacing w:before="0" w:after="60"/>
                    <w:keepNext/>
                    <w:jc w:val="center"/>
                  </w:pPr>
                  <w:r>
                    <w:rPr>
                      <w:rFonts w:ascii="Calibri" w:hAnsi="Calibri"/>
                      <w:sz w:val="20"/>
                      <w:color w:val="000000"/>
                    </w:rPr>
                    <w:t xml:space="default">1.2</w:t>
                  </w:r>
                </w:p>
              </w:tc>
              <w:tc>
                <w:tcPr>
                  <w:tcBorders>
                    <w:top w:val="single" w:space="0" w:color="D3D3D3"/>
                    <w:bottom w:val="single" w:space="0" w:color="D3D3D3"/>
                    <w:start w:val="single" w:space="0" w:color="D3D3D3"/>
                    <w:end w:val="single" w:space="0" w:color="D3D3D3"/>
                  </w:tcBorders>
                  <w:shd w:val="clear" w:color="auto" w:fill="FED4C1"/>
                </w:tcPr>
                <w:p>
                  <w:pPr>
                    <w:spacing w:before="0" w:after="60"/>
                    <w:keepNext/>
                    <w:jc w:val="center"/>
                  </w:pPr>
                  <w:r>
                    <w:rPr>
                      <w:rFonts w:ascii="Calibri" w:hAnsi="Calibri"/>
                      <w:sz w:val="20"/>
                      <w:color w:val="00000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Others</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6573D"/>
                </w:tcPr>
                <w:p>
                  <w:pPr>
                    <w:spacing w:before="0" w:after="60"/>
                    <w:keepNext/>
                    <w:jc w:val="center"/>
                  </w:pPr>
                  <w:r>
                    <w:rPr>
                      <w:rFonts w:ascii="Calibri" w:hAnsi="Calibri"/>
                      <w:sz w:val="20"/>
                      <w:color w:val="FFFFFF"/>
                    </w:rPr>
                    <w:t xml:space="default">3.2</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Penguipedidae/Synodontidae</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2D5"/>
                </w:tcPr>
                <w:p>
                  <w:pPr>
                    <w:spacing w:before="0" w:after="60"/>
                    <w:keepNext/>
                    <w:jc w:val="center"/>
                  </w:pPr>
                  <w:r>
                    <w:rPr>
                      <w:rFonts w:ascii="Calibri" w:hAnsi="Calibri"/>
                      <w:sz w:val="20"/>
                      <w:color w:val="000000"/>
                    </w:rPr>
                    <w:t xml:space="default">1.0</w:t>
                  </w:r>
                </w:p>
              </w:tc>
              <w:tc>
                <w:tcPr>
                  <w:tcBorders>
                    <w:top w:val="single" w:space="0" w:color="D3D3D3"/>
                    <w:bottom w:val="single" w:space="0" w:color="D3D3D3"/>
                    <w:start w:val="single" w:space="0" w:color="D3D3D3"/>
                    <w:end w:val="single" w:space="0" w:color="D3D3D3"/>
                  </w:tcBorders>
                  <w:shd w:val="clear" w:color="auto" w:fill="FFE7DC"/>
                </w:tcPr>
                <w:p>
                  <w:pPr>
                    <w:spacing w:before="0" w:after="60"/>
                    <w:keepNext/>
                    <w:jc w:val="center"/>
                  </w:pPr>
                  <w:r>
                    <w:rPr>
                      <w:rFonts w:ascii="Calibri" w:hAnsi="Calibri"/>
                      <w:sz w:val="20"/>
                      <w:color w:val="00000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Pomacanthidae</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DA081"/>
                </w:tcPr>
                <w:p>
                  <w:pPr>
                    <w:spacing w:before="0" w:after="60"/>
                    <w:keepNext/>
                    <w:jc w:val="center"/>
                  </w:pPr>
                  <w:r>
                    <w:rPr>
                      <w:rFonts w:ascii="Calibri" w:hAnsi="Calibri"/>
                      <w:sz w:val="20"/>
                      <w:color w:val="000000"/>
                    </w:rPr>
                    <w:t xml:space="default">1.8</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Serranidae</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center"/>
                  </w:pPr>
                  <w:r>
                    <w:rPr>
                      <w:rFonts w:ascii="Calibri" w:hAnsi="Calibri"/>
                      <w:sz w:val="20"/>
                      <w:color w:val="000000"/>
                    </w:rPr>
                    <w:t xml:space="default">0.8</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center"/>
                  </w:pPr>
                  <w:r>
                    <w:rPr>
                      <w:rFonts w:ascii="Calibri" w:hAnsi="Calibri"/>
                      <w:sz w:val="20"/>
                      <w:color w:val="00000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Pempheridae</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D4C1"/>
                </w:tcPr>
                <w:p>
                  <w:pPr>
                    <w:spacing w:before="0" w:after="60"/>
                    <w:keepNext/>
                    <w:jc w:val="center"/>
                  </w:pPr>
                  <w:r>
                    <w:rPr>
                      <w:rFonts w:ascii="Calibri" w:hAnsi="Calibri"/>
                      <w:sz w:val="20"/>
                      <w:color w:val="000000"/>
                    </w:rPr>
                    <w:t xml:space="default">1.2</w:t>
                  </w:r>
                </w:p>
              </w:tc>
            </w:tr>
          </w:tbl>
          <w:bookmarkEnd w:id="81"/>
        </w:tc>
      </w:tr>
    </w:tbl>
    <w:tbl>
      <w:tblPr>
        <w:tblStyle w:val="Table"/>
        <w:tblW w:type="pct" w:w="5000"/>
        <w:tblLayout w:type="fixed"/>
        <w:tblLook w:firstRow="0" w:lastRow="0" w:firstColumn="0" w:lastColumn="0" w:noHBand="0" w:noVBand="0" w:val="0000"/>
      </w:tblPr>
      <w:tblGrid>
        <w:gridCol w:w="7920"/>
      </w:tblGrid>
      <w:tr>
        <w:tc>
          <w:tcPr/>
          <w:bookmarkStart w:id="85" w:name="fig-fish-biomass-mtwara-error"/>
          <w:p>
            <w:pPr>
              <w:pStyle w:val="Compact"/>
              <w:jc w:val="center"/>
            </w:pPr>
            <w:r>
              <w:drawing>
                <wp:inline>
                  <wp:extent cx="4620126" cy="3696101"/>
                  <wp:effectExtent b="0" l="0" r="0" t="0"/>
                  <wp:docPr descr="" title="" id="83" name="Picture"/>
                  <a:graphic>
                    <a:graphicData uri="http://schemas.openxmlformats.org/drawingml/2006/picture">
                      <pic:pic>
                        <pic:nvPicPr>
                          <pic:cNvPr descr="coral_reef_assessment_reportDraft1_files/figure-docx/fig-fish-biomass-mtwara-error-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Median fish density (individuals per 100 m</w:t>
            </w:r>
            <w:r>
              <w:rPr>
                <w:vertAlign w:val="superscript"/>
              </w:rPr>
              <w:t xml:space="preserve">2</w:t>
            </w:r>
            <w:r>
              <w:t xml:space="preserve"> </w:t>
            </w:r>
            <w:r>
              <w:t xml:space="preserve">+/- SE) across surveyed reefs in Mtwara. The dashed blue line represents the regional depletion threshold of 20 individuals per 100 m</w:t>
            </w:r>
            <w:r>
              <w:rPr>
                <w:vertAlign w:val="superscript"/>
              </w:rPr>
              <w:t xml:space="preserve">2</w:t>
            </w:r>
            <w:r>
              <w:t xml:space="preserve">, indicating that most surveyed reefs currently sustain fish populations above critical depletion levels.</w:t>
            </w:r>
          </w:p>
          <w:bookmarkEnd w:id="85"/>
        </w:tc>
      </w:tr>
    </w:tbl>
    <w:bookmarkEnd w:id="86"/>
    <w:bookmarkStart w:id="92" w:name="sec-mtwara-recruits"/>
    <w:p>
      <w:pPr>
        <w:pStyle w:val="Heading3"/>
      </w:pPr>
      <w:r>
        <w:t xml:space="preserve">3.2.3 Coral Recruits</w:t>
      </w:r>
    </w:p>
    <w:p>
      <w:pPr>
        <w:pStyle w:val="FirstParagraph"/>
      </w:pPr>
    </w:p>
    <w:p>
      <w:pPr>
        <w:pStyle w:val="BodyText"/>
      </w:pPr>
      <w:r>
        <w:t xml:space="preserve">Coral recruitment in Mtwara was characterized by high taxonomic diversity and spatial variability across the three sites (</w:t>
      </w:r>
      <w:hyperlink w:anchor="fig-recruit-mtwara-error">
        <w:r>
          <w:rPr>
            <w:rStyle w:val="Hyperlink"/>
          </w:rPr>
          <w:t xml:space="preserve">Figure 9</w:t>
        </w:r>
      </w:hyperlink>
      <w:r>
        <w:t xml:space="preserve">).</w:t>
      </w:r>
      <w:r>
        <w:t xml:space="preserve"> </w:t>
      </w:r>
      <w:r>
        <w:rPr>
          <w:b/>
          <w:bCs/>
        </w:rPr>
        <w:t xml:space="preserve">Chamba Cha Kati</w:t>
      </w:r>
      <w:r>
        <w:t xml:space="preserve"> </w:t>
      </w:r>
      <w:r>
        <w:t xml:space="preserve">(Mnazi Bay) exhibited strong recruitment of framework-building genera, particularly</w:t>
      </w:r>
      <w:r>
        <w:t xml:space="preserve"> </w:t>
      </w:r>
      <w:r>
        <w:rPr>
          <w:i/>
          <w:iCs/>
        </w:rPr>
        <w:t xml:space="preserve">Acropora</w:t>
      </w:r>
      <w:r>
        <w:t xml:space="preserve"> </w:t>
      </w:r>
      <w:r>
        <w:t xml:space="preserve">and</w:t>
      </w:r>
      <w:r>
        <w:t xml:space="preserve"> </w:t>
      </w:r>
      <w:r>
        <w:rPr>
          <w:i/>
          <w:iCs/>
        </w:rPr>
        <w:t xml:space="preserve">Merulina</w:t>
      </w:r>
      <w:r>
        <w:t xml:space="preserve"> </w:t>
      </w:r>
      <w:r>
        <w:t xml:space="preserve">(both at 500 ind. 100 m</w:t>
      </w:r>
      <w:r>
        <w:rPr>
          <w:vertAlign w:val="superscript"/>
        </w:rPr>
        <w:t xml:space="preserve">-2</w:t>
      </w:r>
      <w:r>
        <w:t xml:space="preserve">), alongside significant densities of</w:t>
      </w:r>
      <w:r>
        <w:t xml:space="preserve"> </w:t>
      </w:r>
      <w:r>
        <w:rPr>
          <w:i/>
          <w:iCs/>
        </w:rPr>
        <w:t xml:space="preserve">Alveopora</w:t>
      </w:r>
      <w:r>
        <w:t xml:space="preserve">,</w:t>
      </w:r>
      <w:r>
        <w:t xml:space="preserve"> </w:t>
      </w:r>
      <w:r>
        <w:rPr>
          <w:i/>
          <w:iCs/>
        </w:rPr>
        <w:t xml:space="preserve">Lobophyllia</w:t>
      </w:r>
      <w:r>
        <w:t xml:space="preserve">, and</w:t>
      </w:r>
      <w:r>
        <w:t xml:space="preserve"> </w:t>
      </w:r>
      <w:r>
        <w:rPr>
          <w:i/>
          <w:iCs/>
        </w:rPr>
        <w:t xml:space="preserve">Porites</w:t>
      </w:r>
      <w:r>
        <w:t xml:space="preserve"> </w:t>
      </w:r>
      <w:r>
        <w:t xml:space="preserve">(300 ind. 100 m</w:t>
      </w:r>
      <w:r>
        <w:rPr>
          <w:vertAlign w:val="superscript"/>
        </w:rPr>
        <w:t xml:space="preserve">-2</w:t>
      </w:r>
      <w:r>
        <w:t xml:space="preserve"> </w:t>
      </w:r>
      <w:r>
        <w:t xml:space="preserve">each). In contrast,</w:t>
      </w:r>
      <w:r>
        <w:t xml:space="preserve"> </w:t>
      </w:r>
      <w:r>
        <w:rPr>
          <w:b/>
          <w:bCs/>
        </w:rPr>
        <w:t xml:space="preserve">Nusura</w:t>
      </w:r>
      <w:r>
        <w:t xml:space="preserve"> </w:t>
      </w:r>
      <w:r>
        <w:t xml:space="preserve">was dominated by massive</w:t>
      </w:r>
      <w:r>
        <w:t xml:space="preserve"> </w:t>
      </w:r>
      <w:r>
        <w:rPr>
          <w:i/>
          <w:iCs/>
        </w:rPr>
        <w:t xml:space="preserve">Porites</w:t>
      </w:r>
      <w:r>
        <w:t xml:space="preserve"> </w:t>
      </w:r>
      <w:r>
        <w:t xml:space="preserve">recruits (650 ind. 100 m</w:t>
      </w:r>
      <w:r>
        <w:rPr>
          <w:vertAlign w:val="superscript"/>
        </w:rPr>
        <w:t xml:space="preserve">-2</w:t>
      </w:r>
      <w:r>
        <w:t xml:space="preserve">), while</w:t>
      </w:r>
      <w:r>
        <w:t xml:space="preserve"> </w:t>
      </w:r>
      <w:r>
        <w:rPr>
          <w:b/>
          <w:bCs/>
        </w:rPr>
        <w:t xml:space="preserve">Viulu</w:t>
      </w:r>
      <w:r>
        <w:t xml:space="preserve"> </w:t>
      </w:r>
      <w:r>
        <w:t xml:space="preserve">showed the highest recruitment of</w:t>
      </w:r>
      <w:r>
        <w:t xml:space="preserve"> </w:t>
      </w:r>
      <w:r>
        <w:rPr>
          <w:i/>
          <w:iCs/>
        </w:rPr>
        <w:t xml:space="preserve">Alveopora</w:t>
      </w:r>
      <w:r>
        <w:t xml:space="preserve">,</w:t>
      </w:r>
      <w:r>
        <w:t xml:space="preserve"> </w:t>
      </w:r>
      <w:r>
        <w:rPr>
          <w:i/>
          <w:iCs/>
        </w:rPr>
        <w:t xml:space="preserve">Favia</w:t>
      </w:r>
      <w:r>
        <w:t xml:space="preserve">, and</w:t>
      </w:r>
      <w:r>
        <w:t xml:space="preserve"> </w:t>
      </w:r>
      <w:r>
        <w:rPr>
          <w:i/>
          <w:iCs/>
        </w:rPr>
        <w:t xml:space="preserve">Astreopora</w:t>
      </w:r>
      <w:r>
        <w:t xml:space="preserve"> </w:t>
      </w:r>
      <w:r>
        <w:t xml:space="preserve">(400 ind. 100 m</w:t>
      </w:r>
      <w:r>
        <w:rPr>
          <w:vertAlign w:val="superscript"/>
        </w:rPr>
        <w:t xml:space="preserve">-2</w:t>
      </w:r>
      <w:r>
        <w:t xml:space="preserve"> </w:t>
      </w:r>
      <w:r>
        <w:t xml:space="preserve">each) (</w:t>
      </w:r>
      <w:hyperlink w:anchor="tbl-recruit-mtwara">
        <w:r>
          <w:rPr>
            <w:rStyle w:val="Hyperlink"/>
          </w:rPr>
          <w:t xml:space="preserve">Table 9</w:t>
        </w:r>
      </w:hyperlink>
      <w:r>
        <w:t xml:space="preserve">). The presence of specialized genera such as</w:t>
      </w:r>
      <w:r>
        <w:t xml:space="preserve"> </w:t>
      </w:r>
      <w:r>
        <w:rPr>
          <w:i/>
          <w:iCs/>
        </w:rPr>
        <w:t xml:space="preserve">Gardineroseris</w:t>
      </w:r>
      <w:r>
        <w:t xml:space="preserve"> </w:t>
      </w:r>
      <w:r>
        <w:t xml:space="preserve">and</w:t>
      </w:r>
      <w:r>
        <w:t xml:space="preserve"> </w:t>
      </w:r>
      <w:r>
        <w:rPr>
          <w:i/>
          <w:iCs/>
        </w:rPr>
        <w:t xml:space="preserve">Plerogyra</w:t>
      </w:r>
      <w:r>
        <w:t xml:space="preserve"> </w:t>
      </w:r>
      <w:r>
        <w:t xml:space="preserve">exclusively at Chamba Cha Kati, combined with high</w:t>
      </w:r>
      <w:r>
        <w:t xml:space="preserve"> </w:t>
      </w:r>
      <w:r>
        <w:rPr>
          <w:i/>
          <w:iCs/>
        </w:rPr>
        <w:t xml:space="preserve">Acropora</w:t>
      </w:r>
      <w:r>
        <w:t xml:space="preserve"> </w:t>
      </w:r>
      <w:r>
        <w:t xml:space="preserve">density, indicates a robust recovery potential within the MMA compared to the more opportunistic or stress-tolerant assemblages observed at the other sites.</w:t>
      </w:r>
    </w:p>
    <w:tbl>
      <w:tblPr>
        <w:tblStyle w:val="Table"/>
        <w:tblW w:type="pct" w:w="5000"/>
        <w:tblLayout w:type="fixed"/>
        <w:tblLook w:firstRow="0" w:lastRow="0" w:firstColumn="0" w:lastColumn="0" w:noHBand="0" w:noVBand="0" w:val="0000"/>
      </w:tblPr>
      <w:tblGrid>
        <w:gridCol w:w="7920"/>
      </w:tblGrid>
      <w:tr>
        <w:tc>
          <w:tcPr/>
          <w:bookmarkStart w:id="87" w:name="tbl-recruit-mtwara"/>
          <w:p>
            <w:pPr>
              <w:jc w:val="center"/>
            </w:pPr>
            <w:pPr>
              <w:jc w:val="start"/>
              <w:spacing w:before="200"/>
              <w:pStyle w:val="ImageCaption"/>
            </w:pPr>
            <w:r>
              <w:t xml:space="preserve">Table 9: Recruit density (individuals per 100 m</w:t>
            </w:r>
            <w:r>
              <w:rPr>
                <w:vertAlign w:val="superscript"/>
              </w:rPr>
              <w:t xml:space="preserve">2</w:t>
            </w:r>
            <w:r>
              <w:t xml:space="preserve">) by family across the surveyed reefs in Mtwara. Values represent the median density observed across all transects per site.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preserve">Recruit Density (individuals per 100m^2^)</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Family</w:t>
                  </w:r>
                </w:p>
              </w:tc>
              <w:tc>
                <w:tcPr>
                  <w:tcBorders>
                    <w:bottom w:val="single" w:sz="16" w:space="0" w:color="D3D3D3"/>
                  </w:tcBorders>
                </w:tcPr>
                <w:p>
                  <w:pPr>
                    <w:spacing w:before="0" w:after="60"/>
                    <w:keepNext/>
                    <w:jc w:val="center"/>
                  </w:pPr>
                  <w:r>
                    <w:rPr>
                      <w:rFonts w:ascii="Calibri" w:hAnsi="Calibri"/>
                      <w:sz w:val="20"/>
                    </w:rPr>
                    <w:t xml:space="default">Chamba Cha Kati</w:t>
                  </w:r>
                </w:p>
              </w:tc>
              <w:tc>
                <w:tcPr>
                  <w:tcBorders>
                    <w:bottom w:val="single" w:sz="16" w:space="0" w:color="D3D3D3"/>
                  </w:tcBorders>
                </w:tcPr>
                <w:p>
                  <w:pPr>
                    <w:spacing w:before="0" w:after="60"/>
                    <w:keepNext/>
                    <w:jc w:val="center"/>
                  </w:pPr>
                  <w:r>
                    <w:rPr>
                      <w:rFonts w:ascii="Calibri" w:hAnsi="Calibri"/>
                      <w:sz w:val="20"/>
                    </w:rPr>
                    <w:t xml:space="default">Nusura</w:t>
                  </w:r>
                </w:p>
              </w:tc>
              <w:tc>
                <w:tcPr>
                  <w:tcBorders>
                    <w:bottom w:val="single" w:sz="16" w:space="0" w:color="D3D3D3"/>
                    <w:end w:val="single" w:space="0" w:color="D3D3D3"/>
                  </w:tcBorders>
                </w:tcPr>
                <w:p>
                  <w:pPr>
                    <w:spacing w:before="0" w:after="60"/>
                    <w:keepNext/>
                    <w:jc w:val="center"/>
                  </w:pPr>
                  <w:r>
                    <w:rPr>
                      <w:rFonts w:ascii="Calibri" w:hAnsi="Calibri"/>
                      <w:sz w:val="20"/>
                    </w:rPr>
                    <w:t xml:space="default">Viulu</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Acropora</w:t>
                  </w:r>
                </w:p>
              </w:tc>
              <w:tc>
                <w:tcPr>
                  <w:tcBorders>
                    <w:top w:val="single" w:space="0" w:color="D3D3D3"/>
                    <w:bottom w:val="single" w:space="0" w:color="D3D3D3"/>
                    <w:start w:val="single" w:space="0" w:color="D3D3D3"/>
                    <w:end w:val="single" w:space="0" w:color="D3D3D3"/>
                  </w:tcBorders>
                  <w:shd w:val="clear" w:color="auto" w:fill="CB181D"/>
                </w:tcPr>
                <w:p>
                  <w:pPr>
                    <w:spacing w:before="0" w:after="60"/>
                    <w:keepNext/>
                    <w:jc w:val="center"/>
                  </w:pPr>
                  <w:r>
                    <w:rPr>
                      <w:rFonts w:ascii="Calibri" w:hAnsi="Calibri"/>
                      <w:sz w:val="20"/>
                      <w:color w:val="FFFFFF"/>
                    </w:rPr>
                    <w:t xml:space="default">500</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200</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merulina</w:t>
                  </w:r>
                </w:p>
              </w:tc>
              <w:tc>
                <w:tcPr>
                  <w:tcBorders>
                    <w:top w:val="single" w:space="0" w:color="D3D3D3"/>
                    <w:bottom w:val="single" w:space="0" w:color="D3D3D3"/>
                    <w:start w:val="single" w:space="0" w:color="D3D3D3"/>
                    <w:end w:val="single" w:space="0" w:color="D3D3D3"/>
                  </w:tcBorders>
                  <w:shd w:val="clear" w:color="auto" w:fill="CB181D"/>
                </w:tcPr>
                <w:p>
                  <w:pPr>
                    <w:spacing w:before="0" w:after="60"/>
                    <w:keepNext/>
                    <w:jc w:val="center"/>
                  </w:pPr>
                  <w:r>
                    <w:rPr>
                      <w:rFonts w:ascii="Calibri" w:hAnsi="Calibri"/>
                      <w:sz w:val="20"/>
                      <w:color w:val="FFFFFF"/>
                    </w:rPr>
                    <w:t xml:space="default">500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Alveopora</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300</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400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Lobophyllia</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300</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Millepora</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300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Porites(m)</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300</w:t>
                  </w:r>
                </w:p>
              </w:tc>
              <w:tc>
                <w:tcPr>
                  <w:tcBorders>
                    <w:top w:val="single" w:space="0" w:color="D3D3D3"/>
                    <w:bottom w:val="single" w:space="0" w:color="D3D3D3"/>
                    <w:start w:val="single" w:space="0" w:color="D3D3D3"/>
                    <w:end w:val="single" w:space="0" w:color="D3D3D3"/>
                  </w:tcBorders>
                  <w:shd w:val="clear" w:color="auto" w:fill="A50F15"/>
                </w:tcPr>
                <w:p>
                  <w:pPr>
                    <w:spacing w:before="0" w:after="60"/>
                    <w:keepNext/>
                    <w:jc w:val="center"/>
                  </w:pPr>
                  <w:r>
                    <w:rPr>
                      <w:rFonts w:ascii="Calibri" w:hAnsi="Calibri"/>
                      <w:sz w:val="20"/>
                      <w:color w:val="FFFFFF"/>
                    </w:rPr>
                    <w:t xml:space="default">650</w:t>
                  </w:r>
                </w:p>
              </w:tc>
              <w:tc>
                <w:tcPr>
                  <w:tcBorders>
                    <w:top w:val="single" w:space="0" w:color="D3D3D3"/>
                    <w:bottom w:val="single" w:space="0" w:color="D3D3D3"/>
                    <w:start w:val="single" w:space="0" w:color="D3D3D3"/>
                    <w:end w:val="single" w:space="0" w:color="D3D3D3"/>
                  </w:tcBorders>
                  <w:shd w:val="clear" w:color="auto" w:fill="A50F15"/>
                </w:tcPr>
                <w:p>
                  <w:pPr>
                    <w:spacing w:before="0" w:after="60"/>
                    <w:keepNext/>
                    <w:jc w:val="center"/>
                  </w:pPr>
                  <w:r>
                    <w:rPr>
                      <w:rFonts w:ascii="Calibri" w:hAnsi="Calibri"/>
                      <w:sz w:val="20"/>
                      <w:color w:val="FFFFFF"/>
                    </w:rPr>
                    <w:t xml:space="default">450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Fungia</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center"/>
                  </w:pPr>
                  <w:r>
                    <w:rPr>
                      <w:rFonts w:ascii="Calibri" w:hAnsi="Calibri"/>
                      <w:sz w:val="20"/>
                      <w:color w:val="000000"/>
                    </w:rPr>
                    <w:t xml:space="default">200</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250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Gardineroseris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center"/>
                  </w:pPr>
                  <w:r>
                    <w:rPr>
                      <w:rFonts w:ascii="Calibri" w:hAnsi="Calibri"/>
                      <w:sz w:val="20"/>
                      <w:color w:val="000000"/>
                    </w:rPr>
                    <w:t xml:space="default">200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Pavona</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center"/>
                  </w:pPr>
                  <w:r>
                    <w:rPr>
                      <w:rFonts w:ascii="Calibri" w:hAnsi="Calibri"/>
                      <w:sz w:val="20"/>
                      <w:color w:val="000000"/>
                    </w:rPr>
                    <w:t xml:space="default">200</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200</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Plerogyra</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center"/>
                  </w:pPr>
                  <w:r>
                    <w:rPr>
                      <w:rFonts w:ascii="Calibri" w:hAnsi="Calibri"/>
                      <w:sz w:val="20"/>
                      <w:color w:val="000000"/>
                    </w:rPr>
                    <w:t xml:space="default">200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Pocillopora</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center"/>
                  </w:pPr>
                  <w:r>
                    <w:rPr>
                      <w:rFonts w:ascii="Calibri" w:hAnsi="Calibri"/>
                      <w:sz w:val="20"/>
                      <w:color w:val="000000"/>
                    </w:rPr>
                    <w:t xml:space="default">200</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Favia</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center"/>
                  </w:pPr>
                  <w:r>
                    <w:rPr>
                      <w:rFonts w:ascii="Calibri" w:hAnsi="Calibri"/>
                      <w:sz w:val="20"/>
                      <w:color w:val="000000"/>
                    </w:rPr>
                    <w:t xml:space="default">150</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400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Favites</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200</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Galaxea</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200</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center"/>
                  </w:pPr>
                  <w:r>
                    <w:rPr>
                      <w:rFonts w:ascii="Calibri" w:hAnsi="Calibri"/>
                      <w:sz w:val="20"/>
                      <w:color w:val="000000"/>
                    </w:rPr>
                    <w:t xml:space="default">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Halomitra</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Herpolitha</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Leptoseris</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Platygyra</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Seriatopora</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Synarea</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300</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center"/>
                  </w:pPr>
                  <w:r>
                    <w:rPr>
                      <w:rFonts w:ascii="Calibri" w:hAnsi="Calibri"/>
                      <w:sz w:val="20"/>
                      <w:color w:val="000000"/>
                    </w:rPr>
                    <w:t xml:space="default">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Astreopora</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400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Echinopora</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Merullina</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Pachyseris</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Physogyra</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200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Psammocoral</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Tubipora</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Acanthastrea</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Hydnophora</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Psamocoral</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Stylophora</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250</w:t>
                  </w:r>
                </w:p>
              </w:tc>
            </w:tr>
          </w:tbl>
          <w:bookmarkEnd w:id="87"/>
        </w:tc>
      </w:tr>
    </w:tbl>
    <w:tbl>
      <w:tblPr>
        <w:tblStyle w:val="Table"/>
        <w:tblW w:type="pct" w:w="5000"/>
        <w:tblLayout w:type="fixed"/>
        <w:tblLook w:firstRow="0" w:lastRow="0" w:firstColumn="0" w:lastColumn="0" w:noHBand="0" w:noVBand="0" w:val="0000"/>
      </w:tblPr>
      <w:tblGrid>
        <w:gridCol w:w="7920"/>
      </w:tblGrid>
      <w:tr>
        <w:tc>
          <w:tcPr/>
          <w:bookmarkStart w:id="91" w:name="fig-recruit-mtwara-error"/>
          <w:p>
            <w:pPr>
              <w:pStyle w:val="Compact"/>
              <w:jc w:val="center"/>
            </w:pPr>
            <w:r>
              <w:drawing>
                <wp:inline>
                  <wp:extent cx="4620126" cy="3696101"/>
                  <wp:effectExtent b="0" l="0" r="0" t="0"/>
                  <wp:docPr descr="" title="" id="89" name="Picture"/>
                  <a:graphic>
                    <a:graphicData uri="http://schemas.openxmlformats.org/drawingml/2006/picture">
                      <pic:pic>
                        <pic:nvPicPr>
                          <pic:cNvPr descr="coral_reef_assessment_reportDraft1_files/figure-docx/fig-recruit-mtwara-error-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Median recruit density (individuals per 100 m</w:t>
            </w:r>
            <w:r>
              <w:rPr>
                <w:vertAlign w:val="superscript"/>
              </w:rPr>
              <w:t xml:space="preserve">2</w:t>
            </w:r>
            <w:r>
              <w:t xml:space="preserve"> </w:t>
            </w:r>
            <w:r>
              <w:t xml:space="preserve">+/- SE) across surveyed reefs in Mtwara.</w:t>
            </w:r>
          </w:p>
          <w:bookmarkEnd w:id="91"/>
        </w:tc>
      </w:tr>
    </w:tbl>
    <w:bookmarkEnd w:id="92"/>
    <w:bookmarkStart w:id="98" w:name="sec-mtwara-inverts"/>
    <w:p>
      <w:pPr>
        <w:pStyle w:val="Heading3"/>
      </w:pPr>
      <w:r>
        <w:t xml:space="preserve">3.2.4 Invertebrate Assemblages</w:t>
      </w:r>
    </w:p>
    <w:p>
      <w:pPr>
        <w:pStyle w:val="FirstParagraph"/>
      </w:pPr>
    </w:p>
    <w:p>
      <w:pPr>
        <w:pStyle w:val="BodyText"/>
      </w:pPr>
      <w:r>
        <w:t xml:space="preserve">Indicator invertebrate densities in Mtwara varied significantly across the three surveyed reefs (</w:t>
      </w:r>
      <w:hyperlink w:anchor="tbl-invertebrate-mtwara1">
        <w:r>
          <w:rPr>
            <w:rStyle w:val="Hyperlink"/>
          </w:rPr>
          <w:t xml:space="preserve">Table 10</w:t>
        </w:r>
      </w:hyperlink>
      <w:r>
        <w:t xml:space="preserve">).</w:t>
      </w:r>
      <w:r>
        <w:t xml:space="preserve"> </w:t>
      </w:r>
      <w:r>
        <w:rPr>
          <w:b/>
          <w:bCs/>
        </w:rPr>
        <w:t xml:space="preserve">Viulu</w:t>
      </w:r>
      <w:r>
        <w:t xml:space="preserve"> </w:t>
      </w:r>
      <w:r>
        <w:t xml:space="preserve">exhibited the highest overall densities for several key groups, including sea stars (900 ind. 100 m</w:t>
      </w:r>
      <w:r>
        <w:rPr>
          <w:vertAlign w:val="superscript"/>
        </w:rPr>
        <w:t xml:space="preserve">-2</w:t>
      </w:r>
      <w:r>
        <w:t xml:space="preserve">), urchins (1,150 ind. 100 m</w:t>
      </w:r>
      <w:r>
        <w:rPr>
          <w:vertAlign w:val="superscript"/>
        </w:rPr>
        <w:t xml:space="preserve">-2</w:t>
      </w:r>
      <w:r>
        <w:t xml:space="preserve">), and gastropods (800 ind. 100 m</w:t>
      </w:r>
      <w:r>
        <w:rPr>
          <w:vertAlign w:val="superscript"/>
        </w:rPr>
        <w:t xml:space="preserve">-2</w:t>
      </w:r>
      <w:r>
        <w:t xml:space="preserve">).</w:t>
      </w:r>
      <w:r>
        <w:t xml:space="preserve"> </w:t>
      </w:r>
      <w:r>
        <w:rPr>
          <w:b/>
          <w:bCs/>
        </w:rPr>
        <w:t xml:space="preserve">Nusura</w:t>
      </w:r>
      <w:r>
        <w:t xml:space="preserve"> </w:t>
      </w:r>
      <w:r>
        <w:t xml:space="preserve">showed moderate densities, notably supporting the highest recorded density of sea cucumbers (300 ind. 100 m</w:t>
      </w:r>
      <w:r>
        <w:rPr>
          <w:vertAlign w:val="superscript"/>
        </w:rPr>
        <w:t xml:space="preserve">-2</w:t>
      </w:r>
      <w:r>
        <w:t xml:space="preserve">). In contrast,</w:t>
      </w:r>
      <w:r>
        <w:t xml:space="preserve"> </w:t>
      </w:r>
      <w:r>
        <w:rPr>
          <w:b/>
          <w:bCs/>
        </w:rPr>
        <w:t xml:space="preserve">Chamba Cha Kati</w:t>
      </w:r>
      <w:r>
        <w:t xml:space="preserve"> </w:t>
      </w:r>
      <w:r>
        <w:t xml:space="preserve">generally recorded lower invertebrate abundances, although it maintained stable populations of bivalves (300 ind. 100 m</w:t>
      </w:r>
      <w:r>
        <w:rPr>
          <w:vertAlign w:val="superscript"/>
        </w:rPr>
        <w:t xml:space="preserve">-2</w:t>
      </w:r>
      <w:r>
        <w:t xml:space="preserve">) and octopuses (100 ind. 100 m</w:t>
      </w:r>
      <w:r>
        <w:rPr>
          <w:vertAlign w:val="superscript"/>
        </w:rPr>
        <w:t xml:space="preserve">-2</w:t>
      </w:r>
      <w:r>
        <w:t xml:space="preserve">). Notably, Crown-of-Thorns starfish (COTs), a significant coral predator, were recorded exclusively at</w:t>
      </w:r>
      <w:r>
        <w:t xml:space="preserve"> </w:t>
      </w:r>
      <w:r>
        <w:rPr>
          <w:b/>
          <w:bCs/>
        </w:rPr>
        <w:t xml:space="preserve">Viulu</w:t>
      </w:r>
      <w:r>
        <w:t xml:space="preserve"> </w:t>
      </w:r>
      <w:r>
        <w:t xml:space="preserve">(200 ind. 100 m</w:t>
      </w:r>
      <w:r>
        <w:rPr>
          <w:vertAlign w:val="superscript"/>
        </w:rPr>
        <w:t xml:space="preserve">-2</w:t>
      </w:r>
      <w:r>
        <w:t xml:space="preserve">,</w:t>
      </w:r>
      <w:r>
        <w:t xml:space="preserve"> </w:t>
      </w:r>
      <w:r>
        <w:rPr>
          <w:i/>
          <w:iCs/>
        </w:rPr>
        <w:t xml:space="preserve">See</w:t>
      </w:r>
      <w:r>
        <w:t xml:space="preserve"> </w:t>
      </w:r>
      <w:hyperlink w:anchor="fig-inverts-mtwara">
        <w:r>
          <w:rPr>
            <w:rStyle w:val="Hyperlink"/>
          </w:rPr>
          <w:t xml:space="preserve">Figure 10</w:t>
        </w:r>
      </w:hyperlink>
      <w:r>
        <w:t xml:space="preserve">), representing a localized threat to reef recovery.</w:t>
      </w:r>
    </w:p>
    <w:tbl>
      <w:tblPr>
        <w:tblStyle w:val="Table"/>
        <w:tblW w:type="pct" w:w="5000"/>
        <w:tblLayout w:type="fixed"/>
        <w:tblLook w:firstRow="0" w:lastRow="0" w:firstColumn="0" w:lastColumn="0" w:noHBand="0" w:noVBand="0" w:val="0000"/>
      </w:tblPr>
      <w:tblGrid>
        <w:gridCol w:w="7920"/>
      </w:tblGrid>
      <w:tr>
        <w:tc>
          <w:tcPr/>
          <w:bookmarkStart w:id="93" w:name="tbl-invertebrate-mtwara1"/>
          <w:p>
            <w:pPr>
              <w:jc w:val="center"/>
            </w:pPr>
            <w:pPr>
              <w:jc w:val="start"/>
              <w:spacing w:before="200"/>
              <w:pStyle w:val="ImageCaption"/>
            </w:pPr>
            <w:r>
              <w:t xml:space="preserve">Table 10: Invertebrate density (individuals per 100 m</w:t>
            </w:r>
            <w:r>
              <w:rPr>
                <w:vertAlign w:val="superscript"/>
              </w:rPr>
              <w:t xml:space="preserve">2</w:t>
            </w:r>
            <w:r>
              <w:t xml:space="preserve">) by family across the surveyed reefs in Mtwara.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preserve">Density (individuals per 100m^2^)</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Family</w:t>
                  </w:r>
                </w:p>
              </w:tc>
              <w:tc>
                <w:tcPr>
                  <w:tcBorders>
                    <w:bottom w:val="single" w:sz="16" w:space="0" w:color="D3D3D3"/>
                  </w:tcBorders>
                </w:tcPr>
                <w:p>
                  <w:pPr>
                    <w:spacing w:before="0" w:after="60"/>
                    <w:keepNext/>
                    <w:jc w:val="center"/>
                  </w:pPr>
                  <w:r>
                    <w:rPr>
                      <w:rFonts w:ascii="Calibri" w:hAnsi="Calibri"/>
                      <w:sz w:val="20"/>
                    </w:rPr>
                    <w:t xml:space="default">Chamba Cha Kati</w:t>
                  </w:r>
                </w:p>
              </w:tc>
              <w:tc>
                <w:tcPr>
                  <w:tcBorders>
                    <w:bottom w:val="single" w:sz="16" w:space="0" w:color="D3D3D3"/>
                  </w:tcBorders>
                </w:tcPr>
                <w:p>
                  <w:pPr>
                    <w:spacing w:before="0" w:after="60"/>
                    <w:keepNext/>
                    <w:jc w:val="center"/>
                  </w:pPr>
                  <w:r>
                    <w:rPr>
                      <w:rFonts w:ascii="Calibri" w:hAnsi="Calibri"/>
                      <w:sz w:val="20"/>
                    </w:rPr>
                    <w:t xml:space="default">Nusura</w:t>
                  </w:r>
                </w:p>
              </w:tc>
              <w:tc>
                <w:tcPr>
                  <w:tcBorders>
                    <w:bottom w:val="single" w:sz="16" w:space="0" w:color="D3D3D3"/>
                    <w:end w:val="single" w:space="0" w:color="D3D3D3"/>
                  </w:tcBorders>
                </w:tcPr>
                <w:p>
                  <w:pPr>
                    <w:spacing w:before="0" w:after="60"/>
                    <w:keepNext/>
                    <w:jc w:val="center"/>
                  </w:pPr>
                  <w:r>
                    <w:rPr>
                      <w:rFonts w:ascii="Calibri" w:hAnsi="Calibri"/>
                      <w:sz w:val="20"/>
                    </w:rPr>
                    <w:t xml:space="default">Viulu</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 star</w:t>
                  </w:r>
                </w:p>
              </w:tc>
              <w:tc>
                <w:tcPr>
                  <w:tcBorders>
                    <w:top w:val="single" w:space="0" w:color="D3D3D3"/>
                    <w:bottom w:val="single" w:space="0" w:color="D3D3D3"/>
                    <w:start w:val="single" w:space="0" w:color="D3D3D3"/>
                    <w:end w:val="single" w:space="0" w:color="D3D3D3"/>
                  </w:tcBorders>
                  <w:shd w:val="clear" w:color="auto" w:fill="A50F15"/>
                </w:tcPr>
                <w:p>
                  <w:pPr>
                    <w:spacing w:before="0" w:after="60"/>
                    <w:keepNext/>
                    <w:jc w:val="center"/>
                  </w:pPr>
                  <w:r>
                    <w:rPr>
                      <w:rFonts w:ascii="Calibri" w:hAnsi="Calibri"/>
                      <w:sz w:val="20"/>
                      <w:color w:val="FFFFFF"/>
                    </w:rPr>
                    <w:t xml:space="default">400</w:t>
                  </w:r>
                </w:p>
              </w:tc>
              <w:tc>
                <w:tcPr>
                  <w:tcBorders>
                    <w:top w:val="single" w:space="0" w:color="D3D3D3"/>
                    <w:bottom w:val="single" w:space="0" w:color="D3D3D3"/>
                    <w:start w:val="single" w:space="0" w:color="D3D3D3"/>
                    <w:end w:val="single" w:space="0" w:color="D3D3D3"/>
                  </w:tcBorders>
                  <w:shd w:val="clear" w:color="auto" w:fill="A50F15"/>
                </w:tcPr>
                <w:p>
                  <w:pPr>
                    <w:spacing w:before="0" w:after="60"/>
                    <w:keepNext/>
                    <w:jc w:val="center"/>
                  </w:pPr>
                  <w:r>
                    <w:rPr>
                      <w:rFonts w:ascii="Calibri" w:hAnsi="Calibri"/>
                      <w:sz w:val="20"/>
                      <w:color w:val="FFFFFF"/>
                    </w:rPr>
                    <w:t xml:space="default">600</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900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Urchin</w:t>
                  </w:r>
                </w:p>
              </w:tc>
              <w:tc>
                <w:tcPr>
                  <w:tcBorders>
                    <w:top w:val="single" w:space="0" w:color="D3D3D3"/>
                    <w:bottom w:val="single" w:space="0" w:color="D3D3D3"/>
                    <w:start w:val="single" w:space="0" w:color="D3D3D3"/>
                    <w:end w:val="single" w:space="0" w:color="D3D3D3"/>
                  </w:tcBorders>
                  <w:shd w:val="clear" w:color="auto" w:fill="A50F15"/>
                </w:tcPr>
                <w:p>
                  <w:pPr>
                    <w:spacing w:before="0" w:after="60"/>
                    <w:keepNext/>
                    <w:jc w:val="center"/>
                  </w:pPr>
                  <w:r>
                    <w:rPr>
                      <w:rFonts w:ascii="Calibri" w:hAnsi="Calibri"/>
                      <w:sz w:val="20"/>
                      <w:color w:val="FFFFFF"/>
                    </w:rPr>
                    <w:t xml:space="default">400</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500</w:t>
                  </w:r>
                </w:p>
              </w:tc>
              <w:tc>
                <w:tcPr>
                  <w:tcBorders>
                    <w:top w:val="single" w:space="0" w:color="D3D3D3"/>
                    <w:bottom w:val="single" w:space="0" w:color="D3D3D3"/>
                    <w:start w:val="single" w:space="0" w:color="D3D3D3"/>
                    <w:end w:val="single" w:space="0" w:color="D3D3D3"/>
                  </w:tcBorders>
                  <w:shd w:val="clear" w:color="auto" w:fill="A50F15"/>
                </w:tcPr>
                <w:p>
                  <w:pPr>
                    <w:spacing w:before="0" w:after="60"/>
                    <w:keepNext/>
                    <w:jc w:val="center"/>
                  </w:pPr>
                  <w:r>
                    <w:rPr>
                      <w:rFonts w:ascii="Calibri" w:hAnsi="Calibri"/>
                      <w:sz w:val="20"/>
                      <w:color w:val="FFFFFF"/>
                    </w:rPr>
                    <w:t xml:space="default">1,150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Bivalves</w:t>
                  </w:r>
                </w:p>
              </w:tc>
              <w:tc>
                <w:tcPr>
                  <w:tcBorders>
                    <w:top w:val="single" w:space="0" w:color="D3D3D3"/>
                    <w:bottom w:val="single" w:space="0" w:color="D3D3D3"/>
                    <w:start w:val="single" w:space="0" w:color="D3D3D3"/>
                    <w:end w:val="single" w:space="0" w:color="D3D3D3"/>
                  </w:tcBorders>
                  <w:shd w:val="clear" w:color="auto" w:fill="DE2D26"/>
                </w:tcPr>
                <w:p>
                  <w:pPr>
                    <w:spacing w:before="0" w:after="60"/>
                    <w:keepNext/>
                    <w:jc w:val="center"/>
                  </w:pPr>
                  <w:r>
                    <w:rPr>
                      <w:rFonts w:ascii="Calibri" w:hAnsi="Calibri"/>
                      <w:sz w:val="20"/>
                      <w:color w:val="FFFFFF"/>
                    </w:rPr>
                    <w:t xml:space="default">300</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350</w:t>
                  </w:r>
                </w:p>
              </w:tc>
              <w:tc>
                <w:tcPr>
                  <w:tcBorders>
                    <w:top w:val="single" w:space="0" w:color="D3D3D3"/>
                    <w:bottom w:val="single" w:space="0" w:color="D3D3D3"/>
                    <w:start w:val="single" w:space="0" w:color="D3D3D3"/>
                    <w:end w:val="single" w:space="0" w:color="D3D3D3"/>
                  </w:tcBorders>
                  <w:shd w:val="clear" w:color="auto" w:fill="FC9272"/>
                </w:tcPr>
                <w:p>
                  <w:pPr>
                    <w:spacing w:before="0" w:after="60"/>
                    <w:keepNext/>
                    <w:jc w:val="center"/>
                  </w:pPr>
                  <w:r>
                    <w:rPr>
                      <w:rFonts w:ascii="Calibri" w:hAnsi="Calibri"/>
                      <w:sz w:val="20"/>
                      <w:color w:val="000000"/>
                    </w:rPr>
                    <w:t xml:space="default">500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Gastropods</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250</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400</w:t>
                  </w:r>
                </w:p>
              </w:tc>
              <w:tc>
                <w:tcPr>
                  <w:tcBorders>
                    <w:top w:val="single" w:space="0" w:color="D3D3D3"/>
                    <w:bottom w:val="single" w:space="0" w:color="D3D3D3"/>
                    <w:start w:val="single" w:space="0" w:color="D3D3D3"/>
                    <w:end w:val="single" w:space="0" w:color="D3D3D3"/>
                  </w:tcBorders>
                  <w:shd w:val="clear" w:color="auto" w:fill="FB6A4A"/>
                </w:tcPr>
                <w:p>
                  <w:pPr>
                    <w:spacing w:before="0" w:after="60"/>
                    <w:keepNext/>
                    <w:jc w:val="center"/>
                  </w:pPr>
                  <w:r>
                    <w:rPr>
                      <w:rFonts w:ascii="Calibri" w:hAnsi="Calibri"/>
                      <w:sz w:val="20"/>
                      <w:color w:val="FFFFFF"/>
                    </w:rPr>
                    <w:t xml:space="default">800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 cucumber</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center"/>
                  </w:pPr>
                  <w:r>
                    <w:rPr>
                      <w:rFonts w:ascii="Calibri" w:hAnsi="Calibri"/>
                      <w:sz w:val="20"/>
                      <w:color w:val="000000"/>
                    </w:rPr>
                    <w:t xml:space="default">150</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center"/>
                  </w:pPr>
                  <w:r>
                    <w:rPr>
                      <w:rFonts w:ascii="Calibri" w:hAnsi="Calibri"/>
                      <w:sz w:val="20"/>
                      <w:color w:val="000000"/>
                    </w:rPr>
                    <w:t xml:space="default">300</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Octopus</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100</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Worms</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center"/>
                  </w:pPr>
                  <w:r>
                    <w:rPr>
                      <w:rFonts w:ascii="Calibri" w:hAnsi="Calibri"/>
                      <w:sz w:val="20"/>
                      <w:color w:val="000000"/>
                    </w:rPr>
                    <w:t xml:space="default">300</w:t>
                  </w:r>
                </w:p>
              </w:tc>
              <w:tc>
                <w:tcPr>
                  <w:tcBorders>
                    <w:top w:val="single" w:space="0" w:color="D3D3D3"/>
                    <w:bottom w:val="single" w:space="0" w:color="D3D3D3"/>
                    <w:start w:val="single" w:space="0" w:color="D3D3D3"/>
                    <w:end w:val="single" w:space="0" w:color="D3D3D3"/>
                  </w:tcBorders>
                  <w:shd w:val="clear" w:color="auto" w:fill="FCBBA1"/>
                </w:tcPr>
                <w:p>
                  <w:pPr>
                    <w:spacing w:before="0" w:after="60"/>
                    <w:keepNext/>
                    <w:jc w:val="center"/>
                  </w:pPr>
                  <w:r>
                    <w:rPr>
                      <w:rFonts w:ascii="Calibri" w:hAnsi="Calibri"/>
                      <w:sz w:val="20"/>
                      <w:color w:val="000000"/>
                    </w:rPr>
                    <w:t xml:space="default">450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COTs</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center"/>
                  </w:pPr>
                  <w:r>
                    <w:rPr>
                      <w:rFonts w:ascii="Calibri" w:hAnsi="Calibri"/>
                      <w:sz w:val="20"/>
                      <w:color w:val="000000"/>
                    </w:rPr>
                    <w:t xml:space="default">200</w:t>
                  </w:r>
                </w:p>
              </w:tc>
            </w:tr>
          </w:tbl>
          <w:bookmarkEnd w:id="93"/>
        </w:tc>
      </w:tr>
    </w:tbl>
    <w:tbl>
      <w:tblPr>
        <w:tblStyle w:val="Table"/>
        <w:tblW w:type="pct" w:w="5000"/>
        <w:tblLayout w:type="fixed"/>
        <w:tblLook w:firstRow="0" w:lastRow="0" w:firstColumn="0" w:lastColumn="0" w:noHBand="0" w:noVBand="0" w:val="0000"/>
      </w:tblPr>
      <w:tblGrid>
        <w:gridCol w:w="7920"/>
      </w:tblGrid>
      <w:tr>
        <w:tc>
          <w:tcPr/>
          <w:bookmarkStart w:id="97" w:name="fig-inverts-mtwara"/>
          <w:p>
            <w:pPr>
              <w:pStyle w:val="Compact"/>
              <w:jc w:val="center"/>
            </w:pPr>
            <w:r>
              <w:drawing>
                <wp:inline>
                  <wp:extent cx="5334000" cy="5334000"/>
                  <wp:effectExtent b="0" l="0" r="0" t="0"/>
                  <wp:docPr descr="" title="" id="95" name="Picture"/>
                  <a:graphic>
                    <a:graphicData uri="http://schemas.openxmlformats.org/drawingml/2006/picture">
                      <pic:pic>
                        <pic:nvPicPr>
                          <pic:cNvPr descr="invert_density_mtwara.pdf" id="96" name="Picture"/>
                          <pic:cNvPicPr>
                            <a:picLocks noChangeArrowheads="1" noChangeAspect="1"/>
                          </pic:cNvPicPr>
                        </pic:nvPicPr>
                        <pic:blipFill>
                          <a:blip r:embed="rId94"/>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Invertebrate density (individuals per 100 m</w:t>
            </w:r>
            <w:r>
              <w:rPr>
                <w:vertAlign w:val="superscript"/>
              </w:rPr>
              <w:t xml:space="preserve">2</w:t>
            </w:r>
            <w:r>
              <w:t xml:space="preserve">) by taxon across reefs in Mnazi Bay and Msangamkuu.</w:t>
            </w:r>
          </w:p>
          <w:bookmarkEnd w:id="97"/>
        </w:tc>
      </w:tr>
    </w:tbl>
    <w:bookmarkEnd w:id="98"/>
    <w:bookmarkEnd w:id="99"/>
    <w:bookmarkEnd w:id="100"/>
    <w:bookmarkStart w:id="110" w:name="sec-synthesis"/>
    <w:p>
      <w:pPr>
        <w:pStyle w:val="Heading1"/>
      </w:pPr>
      <w:r>
        <w:t xml:space="preserve">4. Synthesis and Restoration Priorities</w:t>
      </w:r>
    </w:p>
    <w:p>
      <w:pPr>
        <w:pStyle w:val="FirstParagraph"/>
      </w:pPr>
    </w:p>
    <w:bookmarkStart w:id="105" w:name="sec-condition"/>
    <w:p>
      <w:pPr>
        <w:pStyle w:val="Heading2"/>
      </w:pPr>
      <w:r>
        <w:t xml:space="preserve">4.1 Ecological Condition Assessment</w:t>
      </w:r>
    </w:p>
    <w:p>
      <w:pPr>
        <w:pStyle w:val="FirstParagraph"/>
      </w:pPr>
      <w:r>
        <w:t xml:space="preserve">The conceptual framework in</w:t>
      </w:r>
      <w:r>
        <w:t xml:space="preserve"> </w:t>
      </w:r>
      <w:hyperlink w:anchor="fig-conceptual">
        <w:r>
          <w:rPr>
            <w:rStyle w:val="Hyperlink"/>
          </w:rPr>
          <w:t xml:space="preserve">Figure 11</w:t>
        </w:r>
      </w:hyperlink>
      <w:r>
        <w:t xml:space="preserve"> </w:t>
      </w:r>
      <w:r>
        <w:t xml:space="preserve">synthesises composite ecological condition scores (derived from the four assessed metrics) against governance and MMA effectiveness scores for all sites. This two-dimensional classification enables cross-regional comparison and restoration prioritisation.</w:t>
      </w:r>
    </w:p>
    <w:tbl>
      <w:tblPr>
        <w:tblStyle w:val="Table"/>
        <w:tblW w:type="pct" w:w="5000"/>
        <w:tblLayout w:type="fixed"/>
        <w:tblLook w:firstRow="0" w:lastRow="0" w:firstColumn="0" w:lastColumn="0" w:noHBand="0" w:noVBand="0" w:val="0000"/>
      </w:tblPr>
      <w:tblGrid>
        <w:gridCol w:w="7920"/>
      </w:tblGrid>
      <w:tr>
        <w:tc>
          <w:tcPr/>
          <w:bookmarkStart w:id="104" w:name="fig-conceptual"/>
          <w:p>
            <w:pPr>
              <w:pStyle w:val="Compact"/>
              <w:jc w:val="center"/>
            </w:pPr>
            <w:r>
              <w:drawing>
                <wp:inline>
                  <wp:extent cx="4620126" cy="5082138"/>
                  <wp:effectExtent b="0" l="0" r="0" t="0"/>
                  <wp:docPr descr="" title="" id="102" name="Picture"/>
                  <a:graphic>
                    <a:graphicData uri="http://schemas.openxmlformats.org/drawingml/2006/picture">
                      <pic:pic>
                        <pic:nvPicPr>
                          <pic:cNvPr descr="coral_reef_assessment_reportDraft1_files/figure-docx/fig-conceptual-1.png" id="103" name="Picture"/>
                          <pic:cNvPicPr>
                            <a:picLocks noChangeArrowheads="1" noChangeAspect="1"/>
                          </pic:cNvPicPr>
                        </pic:nvPicPr>
                        <pic:blipFill>
                          <a:blip r:embed="rId101"/>
                          <a:stretch>
                            <a:fillRect/>
                          </a:stretch>
                        </pic:blipFill>
                        <pic:spPr bwMode="auto">
                          <a:xfrm>
                            <a:off x="0" y="0"/>
                            <a:ext cx="4620126" cy="508213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Conceptual restoration prioritisation framework. Sites are plotted by composite ecological condition score (y-axis; derived from benthic cover, fish biomass, recruit density, and invertebrate assemblages) against governance/MMA effectiveness score (x-axis). Dashed lines represent regional mean thresholds. Quadrant labels indicate recommended management actions.</w:t>
            </w:r>
          </w:p>
          <w:bookmarkEnd w:id="104"/>
        </w:tc>
      </w:tr>
    </w:tbl>
    <w:p>
      <w:pPr>
        <w:pStyle w:val="BodyText"/>
      </w:pPr>
      <w:r>
        <w:t xml:space="preserve">Sites falling in the lower-left quadrant —</w:t>
      </w:r>
      <w:r>
        <w:t xml:space="preserve"> </w:t>
      </w:r>
      <w:r>
        <w:rPr>
          <w:b/>
          <w:bCs/>
        </w:rPr>
        <w:t xml:space="preserve">Chama Kangu</w:t>
      </w:r>
      <w:r>
        <w:t xml:space="preserve"> </w:t>
      </w:r>
      <w:r>
        <w:t xml:space="preserve">and</w:t>
      </w:r>
      <w:r>
        <w:t xml:space="preserve"> </w:t>
      </w:r>
      <w:r>
        <w:rPr>
          <w:b/>
          <w:bCs/>
        </w:rPr>
        <w:t xml:space="preserve">Mwamba Mrefu</w:t>
      </w:r>
      <w:r>
        <w:t xml:space="preserve"> </w:t>
      </w:r>
      <w:r>
        <w:t xml:space="preserve">— represent the highest restoration priority. Despite high recruit densities at Chama Kangu, the extreme algal dominance (&gt;75%) and low coral cover indicate a persistent phase shift that requires active intervention.</w:t>
      </w:r>
      <w:r>
        <w:t xml:space="preserve"> </w:t>
      </w:r>
      <w:r>
        <w:rPr>
          <w:b/>
          <w:bCs/>
        </w:rPr>
        <w:t xml:space="preserve">Chamba Cha Kati</w:t>
      </w:r>
      <w:r>
        <w:t xml:space="preserve"> </w:t>
      </w:r>
      <w:r>
        <w:t xml:space="preserve">(Mnazi Bay) remains the regional benchmark for reef health, exhibiting the highest coral cover (80.8%) and fish biomass.</w:t>
      </w:r>
      <w:r>
        <w:t xml:space="preserve"> </w:t>
      </w:r>
      <w:r>
        <w:rPr>
          <w:b/>
          <w:bCs/>
        </w:rPr>
        <w:t xml:space="preserve">Nusura</w:t>
      </w:r>
      <w:r>
        <w:t xml:space="preserve"> </w:t>
      </w:r>
      <w:r>
        <w:t xml:space="preserve">and</w:t>
      </w:r>
      <w:r>
        <w:t xml:space="preserve"> </w:t>
      </w:r>
      <w:r>
        <w:rPr>
          <w:b/>
          <w:bCs/>
        </w:rPr>
        <w:t xml:space="preserve">Viulu</w:t>
      </w:r>
      <w:r>
        <w:t xml:space="preserve"> </w:t>
      </w:r>
      <w:r>
        <w:t xml:space="preserve">show moderate-to-high ecological resilience but lack formal protection, making them prime candidates for MMA establishment to safeguard their existing coral framework.</w:t>
      </w:r>
    </w:p>
    <w:bookmarkEnd w:id="105"/>
    <w:bookmarkStart w:id="106" w:name="sec-mmaeffect"/>
    <w:p>
      <w:pPr>
        <w:pStyle w:val="Heading2"/>
      </w:pPr>
      <w:r>
        <w:t xml:space="preserve">4.2 MMA Effectiveness</w:t>
      </w:r>
    </w:p>
    <w:p>
      <w:pPr>
        <w:pStyle w:val="FirstParagraph"/>
      </w:pPr>
    </w:p>
    <w:p>
      <w:pPr>
        <w:pStyle w:val="BodyText"/>
      </w:pPr>
      <w:r>
        <w:t xml:space="preserve">The assessment confirms that formal management significantly correlates with reef health.</w:t>
      </w:r>
      <w:r>
        <w:t xml:space="preserve"> </w:t>
      </w:r>
      <w:r>
        <w:rPr>
          <w:b/>
          <w:bCs/>
        </w:rPr>
        <w:t xml:space="preserve">Chamba Cha Kati</w:t>
      </w:r>
      <w:r>
        <w:t xml:space="preserve"> </w:t>
      </w:r>
      <w:r>
        <w:t xml:space="preserve">(Inside MBREMP) and</w:t>
      </w:r>
      <w:r>
        <w:t xml:space="preserve"> </w:t>
      </w:r>
      <w:r>
        <w:rPr>
          <w:b/>
          <w:bCs/>
        </w:rPr>
        <w:t xml:space="preserve">Chumani/Mayale</w:t>
      </w:r>
      <w:r>
        <w:t xml:space="preserve"> </w:t>
      </w:r>
      <w:r>
        <w:t xml:space="preserve">(Inside MCA) maintain higher coral-to-algae ratios compared to open-access sites. However, the high fish density at</w:t>
      </w:r>
      <w:r>
        <w:t xml:space="preserve"> </w:t>
      </w:r>
      <w:r>
        <w:rPr>
          <w:b/>
          <w:bCs/>
        </w:rPr>
        <w:t xml:space="preserve">Chama Kangu</w:t>
      </w:r>
      <w:r>
        <w:t xml:space="preserve"> </w:t>
      </w:r>
      <w:r>
        <w:t xml:space="preserve">(non-MMA) suggests that even degraded benthos can support high abundances of certain functional groups (e.g., Haemulidae), though these lack the biomass of larger predators found in protected zones. The presence of COTs at</w:t>
      </w:r>
      <w:r>
        <w:t xml:space="preserve"> </w:t>
      </w:r>
      <w:r>
        <w:rPr>
          <w:b/>
          <w:bCs/>
        </w:rPr>
        <w:t xml:space="preserve">Viulu</w:t>
      </w:r>
      <w:r>
        <w:t xml:space="preserve"> </w:t>
      </w:r>
      <w:r>
        <w:t xml:space="preserve">highlights that even relatively healthy non-MMA sites face acute biological threats that require managed responses.</w:t>
      </w:r>
    </w:p>
    <w:bookmarkEnd w:id="106"/>
    <w:bookmarkStart w:id="108" w:name="sec-recommendations"/>
    <w:p>
      <w:pPr>
        <w:pStyle w:val="Heading2"/>
      </w:pPr>
      <w:r>
        <w:t xml:space="preserve">4.3 Restoration Recommendations</w:t>
      </w:r>
    </w:p>
    <w:p>
      <w:pPr>
        <w:pStyle w:val="FirstParagraph"/>
      </w:pPr>
    </w:p>
    <w:p>
      <w:pPr>
        <w:pStyle w:val="BodyText"/>
      </w:pPr>
      <w:r>
        <w:t xml:space="preserve">Based on the assessment findings, a tiered restoration framework is recommended (see</w:t>
      </w:r>
      <w:r>
        <w:t xml:space="preserve"> </w:t>
      </w:r>
      <w:hyperlink w:anchor="tbl-restoration">
        <w:r>
          <w:rPr>
            <w:rStyle w:val="Hyperlink"/>
          </w:rPr>
          <w:t xml:space="preserve">Table 11</w:t>
        </w:r>
      </w:hyperlink>
      <w:r>
        <w:t xml:space="preserve">). Immediate interventions should focus on active coral gardening, macroalgae removal, and invertebrate restocking at the most degraded sites, paired with governance efforts to establish or strengthen MMA protections.</w:t>
      </w:r>
      <w:r>
        <w:t xml:space="preserve"> </w:t>
      </w:r>
      <w:r>
        <w:t xml:space="preserve">Moderate-priority sites would benefit from targeted coral outplanting and enhanced surveillance, while maintenance-level monitoring is recommended for well-performing sites.</w:t>
      </w:r>
    </w:p>
    <w:tbl>
      <w:tblPr>
        <w:tblStyle w:val="Table"/>
        <w:tblW w:type="pct" w:w="5000"/>
        <w:tblLayout w:type="fixed"/>
        <w:tblLook w:firstRow="0" w:lastRow="0" w:firstColumn="0" w:lastColumn="0" w:noHBand="0" w:noVBand="0" w:val="0000"/>
      </w:tblPr>
      <w:tblGrid>
        <w:gridCol w:w="7920"/>
      </w:tblGrid>
      <w:tr>
        <w:tc>
          <w:tcPr/>
          <w:bookmarkStart w:id="107" w:name="tbl-restoration"/>
          <w:p>
            <w:pPr>
              <w:jc w:val="center"/>
            </w:pPr>
            <w:pPr>
              <w:jc w:val="start"/>
              <w:spacing w:before="200"/>
              <w:pStyle w:val="ImageCaption"/>
            </w:pPr>
            <w:r>
              <w:t xml:space="preserve">Table 11: Tiered restoration recommendations by site, prioritised by ecological condition and MMA governance status.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Site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Region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Key Issues</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Recommended Actions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b w:val="true"/>
                    </w:rPr>
                    <w:t xml:space="default">Immediate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Chama Kangu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Unguja 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Extreme algal dominance (76%); low coral cover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Active macroalgae removal; coral outplanting; MMA establishment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Mwamba Mrefu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Unguja 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macroalgae; low coral cover (8.8%); low fish density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Artificial reef structures; herbivore protection; community management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b w:val="true"/>
                    </w:rPr>
                    <w:t xml:space="default">Moderate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Viulu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Mtwara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Presence of COTs; high algal cover (26.9%); no formal protection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COTs removal program; formal MMA inclusion; monitoring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Nusura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Mtwara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coral cover but lacks formal management; sea urchin dominance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Establishment of community-led no-take zone; urchin management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b w:val="true"/>
                    </w:rPr>
                    <w:t xml:space="default">Maintenance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Mayale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Unguja 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sand cover; high urchin density (282 ind/100m2)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Monitoring of urchin-driven bioerosion; maintain MCA patrols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Chumani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Unguja 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Moderate coral cover; low invertebrate diversity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Invertebrate restocking (sea cucumbers); maintain MCA patrols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Chamba Cha Kati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Mtwara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Excellent condition (80% coral); high fish biomass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Strict protection; use as regional donor site for coral fragments</w:t>
                  </w:r>
                </w:p>
              </w:tc>
            </w:tr>
          </w:tbl>
          <w:bookmarkEnd w:id="107"/>
        </w:tc>
      </w:tr>
    </w:tbl>
    <w:bookmarkEnd w:id="108"/>
    <w:bookmarkStart w:id="109" w:name="sec-conclusions"/>
    <w:p>
      <w:pPr>
        <w:pStyle w:val="Heading2"/>
      </w:pPr>
      <w:r>
        <w:t xml:space="preserve">4.4 Conclusions</w:t>
      </w:r>
    </w:p>
    <w:p>
      <w:pPr>
        <w:pStyle w:val="FirstParagraph"/>
      </w:pPr>
      <w:r>
        <w:t xml:space="preserve">This assessment provides a systematic multi-metric evaluation of reef health across Unguja North and Mtwara, establishing a baseline for the</w:t>
      </w:r>
      <w:r>
        <w:t xml:space="preserve"> </w:t>
      </w:r>
      <w:r>
        <w:rPr>
          <w:i/>
          <w:iCs/>
        </w:rPr>
        <w:t xml:space="preserve">Bahari Yetu</w:t>
      </w:r>
      <w:r>
        <w:t xml:space="preserve"> </w:t>
      </w:r>
      <w:r>
        <w:t xml:space="preserve">project. Key findings are as follows:</w:t>
      </w:r>
    </w:p>
    <w:p>
      <w:pPr>
        <w:numPr>
          <w:ilvl w:val="0"/>
          <w:numId w:val="1002"/>
        </w:numPr>
      </w:pPr>
      <w:r>
        <w:rPr>
          <w:b/>
          <w:bCs/>
        </w:rPr>
        <w:t xml:space="preserve">Regional Benchmarks:</w:t>
      </w:r>
      <w:r>
        <w:t xml:space="preserve"> </w:t>
      </w:r>
      <w:r>
        <w:rPr>
          <w:b/>
          <w:bCs/>
        </w:rPr>
        <w:t xml:space="preserve">Chamba Cha Kati</w:t>
      </w:r>
      <w:r>
        <w:t xml:space="preserve"> </w:t>
      </w:r>
      <w:r>
        <w:t xml:space="preserve">(Mnazi Bay) represents the healthiest reef assessed, with over 80% hard coral cover and superior fish densities, serving as a critical reference site and potential larval source for regional recovery.</w:t>
      </w:r>
    </w:p>
    <w:p>
      <w:pPr>
        <w:numPr>
          <w:ilvl w:val="0"/>
          <w:numId w:val="1002"/>
        </w:numPr>
      </w:pPr>
      <w:r>
        <w:rPr>
          <w:b/>
          <w:bCs/>
        </w:rPr>
        <w:t xml:space="preserve">Degradation Hotspots:</w:t>
      </w:r>
      <w:r>
        <w:t xml:space="preserve"> </w:t>
      </w:r>
      <w:r>
        <w:rPr>
          <w:b/>
          <w:bCs/>
        </w:rPr>
        <w:t xml:space="preserve">Chama Kangu</w:t>
      </w:r>
      <w:r>
        <w:t xml:space="preserve"> </w:t>
      </w:r>
      <w:r>
        <w:t xml:space="preserve">and</w:t>
      </w:r>
      <w:r>
        <w:t xml:space="preserve"> </w:t>
      </w:r>
      <w:r>
        <w:rPr>
          <w:b/>
          <w:bCs/>
        </w:rPr>
        <w:t xml:space="preserve">Mwamba Mrefu</w:t>
      </w:r>
      <w:r>
        <w:t xml:space="preserve"> </w:t>
      </w:r>
      <w:r>
        <w:t xml:space="preserve">in Unguja North are in a state of ecological crisis, characterized by severe phase shifts toward algal dominance (up to 76%) and critically low hard coral cover (&lt;10%). These sites require urgent active restoration, including macroalgae removal and coral outplanting.</w:t>
      </w:r>
    </w:p>
    <w:p>
      <w:pPr>
        <w:numPr>
          <w:ilvl w:val="0"/>
          <w:numId w:val="1002"/>
        </w:numPr>
      </w:pPr>
      <w:r>
        <w:rPr>
          <w:b/>
          <w:bCs/>
        </w:rPr>
        <w:t xml:space="preserve">Management Impact:</w:t>
      </w:r>
      <w:r>
        <w:t xml:space="preserve"> </w:t>
      </w:r>
      <w:r>
        <w:t xml:space="preserve">The study confirms that formal protection within MMAs (e.g., MBREMP and North Unguja MCAs) significantly correlates with higher coral-to-algae ratios and fish biomass. However, high-quality reefs like</w:t>
      </w:r>
      <w:r>
        <w:t xml:space="preserve"> </w:t>
      </w:r>
      <w:r>
        <w:rPr>
          <w:b/>
          <w:bCs/>
        </w:rPr>
        <w:t xml:space="preserve">Nusura</w:t>
      </w:r>
      <w:r>
        <w:t xml:space="preserve"> </w:t>
      </w:r>
      <w:r>
        <w:t xml:space="preserve">and</w:t>
      </w:r>
      <w:r>
        <w:t xml:space="preserve"> </w:t>
      </w:r>
      <w:r>
        <w:rPr>
          <w:b/>
          <w:bCs/>
        </w:rPr>
        <w:t xml:space="preserve">Viulu</w:t>
      </w:r>
      <w:r>
        <w:t xml:space="preserve"> </w:t>
      </w:r>
      <w:r>
        <w:t xml:space="preserve">currently lack formal protection, making them vulnerable to future degradation.</w:t>
      </w:r>
    </w:p>
    <w:p>
      <w:pPr>
        <w:numPr>
          <w:ilvl w:val="0"/>
          <w:numId w:val="1002"/>
        </w:numPr>
      </w:pPr>
      <w:r>
        <w:rPr>
          <w:b/>
          <w:bCs/>
        </w:rPr>
        <w:t xml:space="preserve">Trophic Imbalance:</w:t>
      </w:r>
      <w:r>
        <w:t xml:space="preserve"> </w:t>
      </w:r>
      <w:r>
        <w:t xml:space="preserve">While fish densities are relatively stable, the severe depletion of high-value invertebrates like sea cucumbers and the localized presence of Crown-of-Thorns starfish at</w:t>
      </w:r>
      <w:r>
        <w:t xml:space="preserve"> </w:t>
      </w:r>
      <w:r>
        <w:rPr>
          <w:b/>
          <w:bCs/>
        </w:rPr>
        <w:t xml:space="preserve">Viulu</w:t>
      </w:r>
      <w:r>
        <w:t xml:space="preserve"> </w:t>
      </w:r>
      <w:r>
        <w:t xml:space="preserve">indicate significant harvesting pressure and emerging biological threats that require targeted management.</w:t>
      </w:r>
    </w:p>
    <w:p>
      <w:pPr>
        <w:numPr>
          <w:ilvl w:val="0"/>
          <w:numId w:val="1002"/>
        </w:numPr>
      </w:pPr>
      <w:r>
        <w:rPr>
          <w:b/>
          <w:bCs/>
        </w:rPr>
        <w:t xml:space="preserve">Restoration Strategy:</w:t>
      </w:r>
      <w:r>
        <w:t xml:space="preserve"> </w:t>
      </w:r>
      <w:r>
        <w:t xml:space="preserve">Restoration must be tiered; immediate active intervention is needed for degraded Unguja sites, while Mtwara efforts should focus on formalizing governance for healthy</w:t>
      </w:r>
      <w:r>
        <w:t xml:space="preserve"> </w:t>
      </w:r>
      <w:r>
        <w:t xml:space="preserve">“outside”</w:t>
      </w:r>
      <w:r>
        <w:t xml:space="preserve"> </w:t>
      </w:r>
      <w:r>
        <w:t xml:space="preserve">reefs and implementing biological controls (e.g., COTs removal) to maintain existing resilience.</w:t>
      </w:r>
    </w:p>
    <w:p>
      <w:r>
        <w:br w:type="page"/>
      </w:r>
    </w:p>
    <w:bookmarkEnd w:id="109"/>
    <w:bookmarkEnd w:id="110"/>
    <w:bookmarkStart w:id="141" w:name="sec-references"/>
    <w:p>
      <w:pPr>
        <w:pStyle w:val="Heading1"/>
      </w:pPr>
      <w:r>
        <w:t xml:space="preserve">References</w:t>
      </w:r>
    </w:p>
    <w:bookmarkStart w:id="140" w:name="refs"/>
    <w:bookmarkStart w:id="111" w:name="ref-babcock1992coral"/>
    <w:p>
      <w:pPr>
        <w:pStyle w:val="Bibliography"/>
      </w:pPr>
      <w:r>
        <w:t xml:space="preserve">Babcock, RC et al. 1992.</w:t>
      </w:r>
      <w:r>
        <w:t xml:space="preserve"> </w:t>
      </w:r>
      <w:r>
        <w:t xml:space="preserve">“Reproduction and Recruitment of Corals: Comparisons Among the Caribbean, the Tropical Pacific, and the Red Sea.”</w:t>
      </w:r>
      <w:r>
        <w:t xml:space="preserve"> </w:t>
      </w:r>
      <w:r>
        <w:rPr>
          <w:i/>
          <w:iCs/>
        </w:rPr>
        <w:t xml:space="preserve">Marine Ecology Progress Series</w:t>
      </w:r>
      <w:r>
        <w:t xml:space="preserve"> </w:t>
      </w:r>
      <w:r>
        <w:t xml:space="preserve">52: 109–25.</w:t>
      </w:r>
    </w:p>
    <w:bookmarkEnd w:id="111"/>
    <w:bookmarkStart w:id="112" w:name="ref-burke2011reefs"/>
    <w:p>
      <w:pPr>
        <w:pStyle w:val="Bibliography"/>
      </w:pPr>
      <w:r>
        <w:t xml:space="preserve">Burke, Lauretta, K Reytar, M Spalding, and A Perry. 2011.</w:t>
      </w:r>
      <w:r>
        <w:t xml:space="preserve"> </w:t>
      </w:r>
      <w:r>
        <w:rPr>
          <w:i/>
          <w:iCs/>
        </w:rPr>
        <w:t xml:space="preserve">Reefs at Risk Revisited</w:t>
      </w:r>
      <w:r>
        <w:t xml:space="preserve">. World Resources Institute.</w:t>
      </w:r>
    </w:p>
    <w:bookmarkEnd w:id="112"/>
    <w:bookmarkStart w:id="113" w:name="ref-cinner2016bright"/>
    <w:p>
      <w:pPr>
        <w:pStyle w:val="Bibliography"/>
      </w:pPr>
      <w:r>
        <w:t xml:space="preserve">Cinner, Joshua E et al. 2016.</w:t>
      </w:r>
      <w:r>
        <w:t xml:space="preserve"> </w:t>
      </w:r>
      <w:r>
        <w:t xml:space="preserve">“Bright Spots Among the World’s Coral Reefs.”</w:t>
      </w:r>
      <w:r>
        <w:t xml:space="preserve"> </w:t>
      </w:r>
      <w:r>
        <w:rPr>
          <w:i/>
          <w:iCs/>
        </w:rPr>
        <w:t xml:space="preserve">Nature</w:t>
      </w:r>
      <w:r>
        <w:t xml:space="preserve"> </w:t>
      </w:r>
      <w:r>
        <w:t xml:space="preserve">535 (7612): 416–19.</w:t>
      </w:r>
    </w:p>
    <w:bookmarkEnd w:id="113"/>
    <w:bookmarkStart w:id="115" w:name="ref-tidyplots"/>
    <w:p>
      <w:pPr>
        <w:pStyle w:val="Bibliography"/>
      </w:pPr>
      <w:r>
        <w:t xml:space="preserve">Engler, Jan Broder. 2025.</w:t>
      </w:r>
      <w:r>
        <w:t xml:space="preserve"> </w:t>
      </w:r>
      <w:r>
        <w:t xml:space="preserve">“Tidyplots Empowers Life Scientists with Easy Code-Based Data Visualization.”</w:t>
      </w:r>
      <w:r>
        <w:t xml:space="preserve"> </w:t>
      </w:r>
      <w:r>
        <w:rPr>
          <w:i/>
          <w:iCs/>
        </w:rPr>
        <w:t xml:space="preserve">iMeta</w:t>
      </w:r>
      <w:r>
        <w:t xml:space="preserve">, e70018.</w:t>
      </w:r>
      <w:r>
        <w:t xml:space="preserve"> </w:t>
      </w:r>
      <w:hyperlink r:id="rId114">
        <w:r>
          <w:rPr>
            <w:rStyle w:val="Hyperlink"/>
          </w:rPr>
          <w:t xml:space="preserve">https://doi.org/10.1002/imt2.70018</w:t>
        </w:r>
      </w:hyperlink>
      <w:r>
        <w:t xml:space="preserve">.</w:t>
      </w:r>
    </w:p>
    <w:bookmarkEnd w:id="115"/>
    <w:bookmarkStart w:id="116" w:name="ref-english1997survey"/>
    <w:p>
      <w:pPr>
        <w:pStyle w:val="Bibliography"/>
      </w:pPr>
      <w:r>
        <w:t xml:space="preserve">English, S, C Wilkinson, and V Baker. 1997.</w:t>
      </w:r>
      <w:r>
        <w:t xml:space="preserve"> </w:t>
      </w:r>
      <w:r>
        <w:rPr>
          <w:i/>
          <w:iCs/>
        </w:rPr>
        <w:t xml:space="preserve">Survey Manual for Tropical Marine Resources</w:t>
      </w:r>
      <w:r>
        <w:t xml:space="preserve">. Australian Institute of Marine Science.</w:t>
      </w:r>
    </w:p>
    <w:bookmarkEnd w:id="116"/>
    <w:bookmarkStart w:id="118" w:name="ref-froese2023fishbase"/>
    <w:p>
      <w:pPr>
        <w:pStyle w:val="Bibliography"/>
      </w:pPr>
      <w:r>
        <w:t xml:space="preserve">Froese, Rainer, and Daniel Pauly. 2023.</w:t>
      </w:r>
      <w:r>
        <w:t xml:space="preserve"> </w:t>
      </w:r>
      <w:r>
        <w:t xml:space="preserve">“FishBase.”</w:t>
      </w:r>
      <w:r>
        <w:t xml:space="preserve"> </w:t>
      </w:r>
      <w:r>
        <w:t xml:space="preserve">2023.</w:t>
      </w:r>
      <w:r>
        <w:t xml:space="preserve"> </w:t>
      </w:r>
      <w:hyperlink r:id="rId117">
        <w:r>
          <w:rPr>
            <w:rStyle w:val="Hyperlink"/>
          </w:rPr>
          <w:t xml:space="preserve">www.fishbase.org</w:t>
        </w:r>
      </w:hyperlink>
      <w:r>
        <w:t xml:space="preserve">.</w:t>
      </w:r>
    </w:p>
    <w:bookmarkEnd w:id="118"/>
    <w:bookmarkStart w:id="119" w:name="ref-hodgson2006reef"/>
    <w:p>
      <w:pPr>
        <w:pStyle w:val="Bibliography"/>
      </w:pPr>
      <w:r>
        <w:t xml:space="preserve">Hodgson, G, J Hill, W Kiene, L Maun, J Mihaly, J Liebeler, C Shauka, and R Devel. 2006.</w:t>
      </w:r>
      <w:r>
        <w:t xml:space="preserve"> </w:t>
      </w:r>
      <w:r>
        <w:rPr>
          <w:i/>
          <w:iCs/>
        </w:rPr>
        <w:t xml:space="preserve">Reef Check Instruction Manual: A Guide to Reef Check Coral Reef Monitoring</w:t>
      </w:r>
      <w:r>
        <w:t xml:space="preserve">. Reef Check Foundation.</w:t>
      </w:r>
    </w:p>
    <w:bookmarkEnd w:id="119"/>
    <w:bookmarkStart w:id="121" w:name="ref-gt"/>
    <w:p>
      <w:pPr>
        <w:pStyle w:val="Bibliography"/>
      </w:pPr>
      <w:r>
        <w:t xml:space="preserve">Iannone, Richard, Joe Cheng, Barret Schloerke, Ellis Hughes, Alexandra Lauer, JooYoung Seo, Ken Brevoort, and Olivier Roy. 2025.</w:t>
      </w:r>
      <w:r>
        <w:t xml:space="preserve"> </w:t>
      </w:r>
      <w:r>
        <w:rPr>
          <w:i/>
          <w:iCs/>
        </w:rPr>
        <w:t xml:space="preserve">Gt: Easily Create Presentation-Ready Display Tables</w:t>
      </w:r>
      <w:r>
        <w:t xml:space="preserve">.</w:t>
      </w:r>
      <w:r>
        <w:t xml:space="preserve"> </w:t>
      </w:r>
      <w:hyperlink r:id="rId120">
        <w:r>
          <w:rPr>
            <w:rStyle w:val="Hyperlink"/>
          </w:rPr>
          <w:t xml:space="preserve">https://doi.org/10.32614/CRAN.package.gt</w:t>
        </w:r>
      </w:hyperlink>
      <w:r>
        <w:t xml:space="preserve">.</w:t>
      </w:r>
    </w:p>
    <w:bookmarkEnd w:id="121"/>
    <w:bookmarkStart w:id="123" w:name="ref-rstatix"/>
    <w:p>
      <w:pPr>
        <w:pStyle w:val="Bibliography"/>
      </w:pPr>
      <w:r>
        <w:t xml:space="preserve">Kassambara, Alboukadel. 2025.</w:t>
      </w:r>
      <w:r>
        <w:t xml:space="preserve"> </w:t>
      </w:r>
      <w:r>
        <w:rPr>
          <w:i/>
          <w:iCs/>
        </w:rPr>
        <w:t xml:space="preserve">Rstatix: Pipe-Friendly Framework for Basic Statistical Tests</w:t>
      </w:r>
      <w:r>
        <w:t xml:space="preserve">.</w:t>
      </w:r>
      <w:r>
        <w:t xml:space="preserve"> </w:t>
      </w:r>
      <w:hyperlink r:id="rId122">
        <w:r>
          <w:rPr>
            <w:rStyle w:val="Hyperlink"/>
          </w:rPr>
          <w:t xml:space="preserve">https://doi.org/10.32614/CRAN.package.rstatix</w:t>
        </w:r>
      </w:hyperlink>
      <w:r>
        <w:t xml:space="preserve">.</w:t>
      </w:r>
    </w:p>
    <w:bookmarkEnd w:id="123"/>
    <w:bookmarkStart w:id="124" w:name="ref-mcclanahan2020global"/>
    <w:p>
      <w:pPr>
        <w:pStyle w:val="Bibliography"/>
      </w:pPr>
      <w:r>
        <w:t xml:space="preserve">McClanahan, Tim R et al. 2020.</w:t>
      </w:r>
      <w:r>
        <w:t xml:space="preserve"> </w:t>
      </w:r>
      <w:r>
        <w:t xml:space="preserve">“Global Baselines and Benchmarks for Fish Biomass: Comparing Remote Reefs and Fisheries Closures.”</w:t>
      </w:r>
      <w:r>
        <w:t xml:space="preserve"> </w:t>
      </w:r>
      <w:r>
        <w:rPr>
          <w:i/>
          <w:iCs/>
        </w:rPr>
        <w:t xml:space="preserve">Marine Ecology Progress Series</w:t>
      </w:r>
      <w:r>
        <w:t xml:space="preserve"> </w:t>
      </w:r>
      <w:r>
        <w:t xml:space="preserve">641: 153–67.</w:t>
      </w:r>
    </w:p>
    <w:bookmarkEnd w:id="124"/>
    <w:bookmarkStart w:id="125" w:name="ref-mcclanahan2014management"/>
    <w:p>
      <w:pPr>
        <w:pStyle w:val="Bibliography"/>
      </w:pPr>
      <w:r>
        <w:t xml:space="preserve">McClanahan, Tim R, Joshua E Cinner, and Caroline Abunge. 2014.</w:t>
      </w:r>
      <w:r>
        <w:t xml:space="preserve"> </w:t>
      </w:r>
      <w:r>
        <w:t xml:space="preserve">“Perceived Benefits of Fisheries Management Restrictions in Madagascar.”</w:t>
      </w:r>
      <w:r>
        <w:t xml:space="preserve"> </w:t>
      </w:r>
      <w:r>
        <w:rPr>
          <w:i/>
          <w:iCs/>
        </w:rPr>
        <w:t xml:space="preserve">Ecology and Society</w:t>
      </w:r>
      <w:r>
        <w:t xml:space="preserve"> </w:t>
      </w:r>
      <w:r>
        <w:t xml:space="preserve">19 (1).</w:t>
      </w:r>
    </w:p>
    <w:bookmarkEnd w:id="125"/>
    <w:bookmarkStart w:id="126" w:name="ref-muenchow2017rqgis"/>
    <w:p>
      <w:pPr>
        <w:pStyle w:val="Bibliography"/>
      </w:pPr>
      <w:r>
        <w:t xml:space="preserve">Muenchow, Jannes, Patrick Schratz, and Alexander Brenning. 2017.</w:t>
      </w:r>
      <w:r>
        <w:t xml:space="preserve"> </w:t>
      </w:r>
      <w:r>
        <w:t xml:space="preserve">“RQGIS: Integrating r with QGIS for Statistical Geocomputing.”</w:t>
      </w:r>
    </w:p>
    <w:bookmarkEnd w:id="126"/>
    <w:bookmarkStart w:id="127" w:name="ref-obura2016coral"/>
    <w:p>
      <w:pPr>
        <w:pStyle w:val="Bibliography"/>
      </w:pPr>
      <w:r>
        <w:t xml:space="preserve">Obura, David et al. 2016.</w:t>
      </w:r>
      <w:r>
        <w:t xml:space="preserve"> </w:t>
      </w:r>
      <w:r>
        <w:t xml:space="preserve">“Coral Mortality Dynamics on Reefs of the Western Indian Ocean.”</w:t>
      </w:r>
      <w:r>
        <w:t xml:space="preserve"> </w:t>
      </w:r>
      <w:r>
        <w:rPr>
          <w:i/>
          <w:iCs/>
        </w:rPr>
        <w:t xml:space="preserve">Coral Reefs</w:t>
      </w:r>
      <w:r>
        <w:t xml:space="preserve">.</w:t>
      </w:r>
    </w:p>
    <w:bookmarkEnd w:id="127"/>
    <w:bookmarkStart w:id="128" w:name="ref-obura2017reef"/>
    <w:p>
      <w:pPr>
        <w:pStyle w:val="Bibliography"/>
      </w:pPr>
      <w:r>
        <w:t xml:space="preserve">Obura, David, Mishal Gudka, J Abdouravi, S Ahamada, et al. 2017.</w:t>
      </w:r>
      <w:r>
        <w:t xml:space="preserve"> </w:t>
      </w:r>
      <w:r>
        <w:t xml:space="preserve">“Coral Reef Status Report for the Western Indian Ocean.”</w:t>
      </w:r>
      <w:r>
        <w:t xml:space="preserve"> </w:t>
      </w:r>
      <w:r>
        <w:rPr>
          <w:i/>
          <w:iCs/>
        </w:rPr>
        <w:t xml:space="preserve">Global Coral Reef Monitoring Network (GCRMN)/International Coral Reef Initiative (ICRI)</w:t>
      </w:r>
      <w:r>
        <w:t xml:space="preserve">.</w:t>
      </w:r>
    </w:p>
    <w:bookmarkEnd w:id="128"/>
    <w:bookmarkStart w:id="130" w:name="ref-pebesma2018sf"/>
    <w:p>
      <w:pPr>
        <w:pStyle w:val="Bibliography"/>
      </w:pPr>
      <w:r>
        <w:t xml:space="preserve">Pebesma, Edzer. 2018.</w:t>
      </w:r>
      <w:r>
        <w:t xml:space="preserve"> </w:t>
      </w:r>
      <w:r>
        <w:t xml:space="preserve">“</w:t>
      </w:r>
      <w:r>
        <w:t xml:space="preserve">Simple Features for R: Standardized Support for Spatial Vector Data</w:t>
      </w:r>
      <w:r>
        <w:t xml:space="preserve">.”</w:t>
      </w:r>
      <w:r>
        <w:t xml:space="preserve"> </w:t>
      </w:r>
      <w:r>
        <w:rPr>
          <w:i/>
          <w:iCs/>
        </w:rPr>
        <w:t xml:space="preserve">The R Journal</w:t>
      </w:r>
      <w:r>
        <w:t xml:space="preserve"> </w:t>
      </w:r>
      <w:r>
        <w:t xml:space="preserve">10 (1): 439–46.</w:t>
      </w:r>
      <w:r>
        <w:t xml:space="preserve"> </w:t>
      </w:r>
      <w:hyperlink r:id="rId129">
        <w:r>
          <w:rPr>
            <w:rStyle w:val="Hyperlink"/>
          </w:rPr>
          <w:t xml:space="preserve">https://doi.org/10.32614/RJ-2018-009</w:t>
        </w:r>
      </w:hyperlink>
      <w:r>
        <w:t xml:space="preserve">.</w:t>
      </w:r>
    </w:p>
    <w:bookmarkEnd w:id="130"/>
    <w:bookmarkStart w:id="132" w:name="ref-rcoreteam2024"/>
    <w:p>
      <w:pPr>
        <w:pStyle w:val="Bibliography"/>
      </w:pPr>
      <w:r>
        <w:t xml:space="preserve">R Core Team. 2024.</w:t>
      </w:r>
      <w:r>
        <w:t xml:space="preserve"> </w:t>
      </w:r>
      <w:r>
        <w:rPr>
          <w:i/>
          <w:iCs/>
        </w:rPr>
        <w:t xml:space="preserve">R: A Language and Environment for Statistical Computing</w:t>
      </w:r>
      <w:r>
        <w:t xml:space="preserve">. Vienna, Austria: R Foundation for Statistical Computing.</w:t>
      </w:r>
      <w:r>
        <w:t xml:space="preserve"> </w:t>
      </w:r>
      <w:hyperlink r:id="rId131">
        <w:r>
          <w:rPr>
            <w:rStyle w:val="Hyperlink"/>
          </w:rPr>
          <w:t xml:space="preserve">https://www.R-project.org/</w:t>
        </w:r>
      </w:hyperlink>
      <w:r>
        <w:t xml:space="preserve">.</w:t>
      </w:r>
    </w:p>
    <w:bookmarkEnd w:id="132"/>
    <w:bookmarkStart w:id="133" w:name="ref-rocliffe2014towards"/>
    <w:p>
      <w:pPr>
        <w:pStyle w:val="Bibliography"/>
      </w:pPr>
      <w:r>
        <w:t xml:space="preserve">Rocliffe, S, S Peabody, M Samoilys, and JP Hawkins. 2014.</w:t>
      </w:r>
      <w:r>
        <w:t xml:space="preserve"> </w:t>
      </w:r>
      <w:r>
        <w:t xml:space="preserve">“Towards a Network of Locally Managed Marine Areas (LMMAs) in the Western Indian Ocean.”</w:t>
      </w:r>
      <w:r>
        <w:t xml:space="preserve"> </w:t>
      </w:r>
      <w:r>
        <w:rPr>
          <w:i/>
          <w:iCs/>
        </w:rPr>
        <w:t xml:space="preserve">PLoS One</w:t>
      </w:r>
      <w:r>
        <w:t xml:space="preserve"> </w:t>
      </w:r>
      <w:r>
        <w:t xml:space="preserve">9 (7): e103000.</w:t>
      </w:r>
    </w:p>
    <w:bookmarkEnd w:id="133"/>
    <w:bookmarkStart w:id="135" w:name="ref-wickham2016ggplot2"/>
    <w:p>
      <w:pPr>
        <w:pStyle w:val="Bibliography"/>
      </w:pPr>
      <w:r>
        <w:t xml:space="preserve">Wickham, Hadley. 2016.</w:t>
      </w:r>
      <w:r>
        <w:t xml:space="preserve"> </w:t>
      </w:r>
      <w:r>
        <w:rPr>
          <w:i/>
          <w:iCs/>
        </w:rPr>
        <w:t xml:space="preserve">Ggplot2: Elegant Graphics for Data Analysis</w:t>
      </w:r>
      <w:r>
        <w:t xml:space="preserve">. Springer-Verlag New York.</w:t>
      </w:r>
      <w:r>
        <w:t xml:space="preserve"> </w:t>
      </w:r>
      <w:hyperlink r:id="rId134">
        <w:r>
          <w:rPr>
            <w:rStyle w:val="Hyperlink"/>
          </w:rPr>
          <w:t xml:space="preserve">https://ggplot2.tidyverse.org</w:t>
        </w:r>
      </w:hyperlink>
      <w:r>
        <w:t xml:space="preserve">.</w:t>
      </w:r>
    </w:p>
    <w:bookmarkEnd w:id="135"/>
    <w:bookmarkStart w:id="136" w:name="ref-wilkinson2008status"/>
    <w:p>
      <w:pPr>
        <w:pStyle w:val="Bibliography"/>
      </w:pPr>
      <w:r>
        <w:t xml:space="preserve">Wilkinson, Clive. 2008.</w:t>
      </w:r>
      <w:r>
        <w:t xml:space="preserve"> </w:t>
      </w:r>
      <w:r>
        <w:rPr>
          <w:i/>
          <w:iCs/>
        </w:rPr>
        <w:t xml:space="preserve">Status of Coral Reefs of the World: 2008</w:t>
      </w:r>
      <w:r>
        <w:t xml:space="preserve">. Global Coral Reef Monitoring Network; Reef; Rainforest Research Centre.</w:t>
      </w:r>
    </w:p>
    <w:bookmarkEnd w:id="136"/>
    <w:bookmarkStart w:id="137" w:name="ref-wilson2020reef"/>
    <w:p>
      <w:pPr>
        <w:pStyle w:val="Bibliography"/>
      </w:pPr>
      <w:r>
        <w:t xml:space="preserve">Wilson, JR et al. 2020.</w:t>
      </w:r>
      <w:r>
        <w:t xml:space="preserve"> </w:t>
      </w:r>
      <w:r>
        <w:rPr>
          <w:i/>
          <w:iCs/>
        </w:rPr>
        <w:t xml:space="preserve">Monitoring Coral Reefs: A Guide for the Western Indian Ocean</w:t>
      </w:r>
      <w:r>
        <w:t xml:space="preserve">. CORDIO East Africa.</w:t>
      </w:r>
    </w:p>
    <w:bookmarkEnd w:id="137"/>
    <w:bookmarkStart w:id="139" w:name="ref-zhu2024kableextra"/>
    <w:p>
      <w:pPr>
        <w:pStyle w:val="Bibliography"/>
      </w:pPr>
      <w:r>
        <w:t xml:space="preserve">Zhu, Hao. 2024.</w:t>
      </w:r>
      <w:r>
        <w:t xml:space="preserve"> </w:t>
      </w:r>
      <w:r>
        <w:rPr>
          <w:i/>
          <w:iCs/>
        </w:rPr>
        <w:t xml:space="preserve">kableExtra: Construct Complex Table with ’Kable’ and Pipe Syntax</w:t>
      </w:r>
      <w:r>
        <w:t xml:space="preserve">.</w:t>
      </w:r>
      <w:r>
        <w:t xml:space="preserve"> </w:t>
      </w:r>
      <w:hyperlink r:id="rId138">
        <w:r>
          <w:rPr>
            <w:rStyle w:val="Hyperlink"/>
          </w:rPr>
          <w:t xml:space="preserve">https://CRAN.R-project.org/package=kableExtra</w:t>
        </w:r>
      </w:hyperlink>
      <w:r>
        <w:t xml:space="preserve">.</w:t>
      </w:r>
    </w:p>
    <w:bookmarkEnd w:id="139"/>
    <w:bookmarkEnd w:id="140"/>
    <w:p>
      <w:r>
        <w:br w:type="page"/>
      </w:r>
    </w:p>
    <w:bookmarkEnd w:id="141"/>
    <w:bookmarkStart w:id="144" w:name="appendix"/>
    <w:p>
      <w:pPr>
        <w:pStyle w:val="Heading1"/>
      </w:pPr>
      <w:r>
        <w:t xml:space="preserve">Appendix</w:t>
      </w:r>
    </w:p>
    <w:bookmarkStart w:id="142" w:name="appendix-a-full-data-tables"/>
    <w:p>
      <w:pPr>
        <w:pStyle w:val="Heading2"/>
      </w:pPr>
      <w:r>
        <w:t xml:space="preserve">Appendix A: Full Data Tables</w:t>
      </w:r>
    </w:p>
    <w:p>
      <w:pPr>
        <w:pStyle w:val="FirstParagraph"/>
      </w:pPr>
    </w:p>
    <w:bookmarkEnd w:id="142"/>
    <w:bookmarkStart w:id="143" w:name="appendix-b-survey-metadata"/>
    <w:p>
      <w:pPr>
        <w:pStyle w:val="Heading2"/>
      </w:pPr>
      <w:r>
        <w:t xml:space="preserve">Appendix B: Survey Metadata</w:t>
      </w:r>
    </w:p>
    <w:p>
      <w:pPr>
        <w:pStyle w:val="FirstParagraph"/>
      </w:pPr>
    </w:p>
    <w:bookmarkEnd w:id="143"/>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1" Target="media/rId101.png" /><Relationship Type="http://schemas.openxmlformats.org/officeDocument/2006/relationships/image" Id="rId82" Target="media/rId82.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88" Target="media/rId88.png" /><Relationship Type="http://schemas.openxmlformats.org/officeDocument/2006/relationships/image" Id="rId76" Target="media/rId76.png" /><Relationship Type="http://schemas.openxmlformats.org/officeDocument/2006/relationships/image" Id="rId51" Target="media/rId51.png" /><Relationship Type="http://schemas.openxmlformats.org/officeDocument/2006/relationships/image" Id="rId94" Target="media/rId94.pdf" /><Relationship Type="http://schemas.openxmlformats.org/officeDocument/2006/relationships/image" Id="rId69" Target="media/rId69.pdf" /><Relationship Type="http://schemas.openxmlformats.org/officeDocument/2006/relationships/image" Id="rId31" Target="media/rId31.png" /><Relationship Type="http://schemas.openxmlformats.org/officeDocument/2006/relationships/image" Id="rId24" Target="media/rId24.png" /><Relationship Type="http://schemas.openxmlformats.org/officeDocument/2006/relationships/hyperlink" Id="rId138" Target="https://CRAN.R-project.org/package=kableExtra" TargetMode="External" /><Relationship Type="http://schemas.openxmlformats.org/officeDocument/2006/relationships/hyperlink" Id="rId114" Target="https://doi.org/10.1002/imt2.70018" TargetMode="External" /><Relationship Type="http://schemas.openxmlformats.org/officeDocument/2006/relationships/hyperlink" Id="rId120" Target="https://doi.org/10.32614/CRAN.package.gt" TargetMode="External" /><Relationship Type="http://schemas.openxmlformats.org/officeDocument/2006/relationships/hyperlink" Id="rId122" Target="https://doi.org/10.32614/CRAN.package.rstatix" TargetMode="External" /><Relationship Type="http://schemas.openxmlformats.org/officeDocument/2006/relationships/hyperlink" Id="rId129" Target="https://doi.org/10.32614/RJ-2018-009" TargetMode="External" /><Relationship Type="http://schemas.openxmlformats.org/officeDocument/2006/relationships/hyperlink" Id="rId134" Target="https://ggplot2.tidyverse.org" TargetMode="External" /><Relationship Type="http://schemas.openxmlformats.org/officeDocument/2006/relationships/hyperlink" Id="rId131" Target="https://www.R-project.org/" TargetMode="External" /><Relationship Type="http://schemas.openxmlformats.org/officeDocument/2006/relationships/hyperlink" Id="rId117" Target="https://www.fishbase.org" TargetMode="External" /></Relationships>
</file>

<file path=word/_rels/footnotes.xml.rels><?xml version="1.0" encoding="UTF-8"?><Relationships xmlns="http://schemas.openxmlformats.org/package/2006/relationships"><Relationship Type="http://schemas.openxmlformats.org/officeDocument/2006/relationships/hyperlink" Id="rId138" Target="https://CRAN.R-project.org/package=kableExtra" TargetMode="External" /><Relationship Type="http://schemas.openxmlformats.org/officeDocument/2006/relationships/hyperlink" Id="rId114" Target="https://doi.org/10.1002/imt2.70018" TargetMode="External" /><Relationship Type="http://schemas.openxmlformats.org/officeDocument/2006/relationships/hyperlink" Id="rId120" Target="https://doi.org/10.32614/CRAN.package.gt" TargetMode="External" /><Relationship Type="http://schemas.openxmlformats.org/officeDocument/2006/relationships/hyperlink" Id="rId122" Target="https://doi.org/10.32614/CRAN.package.rstatix" TargetMode="External" /><Relationship Type="http://schemas.openxmlformats.org/officeDocument/2006/relationships/hyperlink" Id="rId129" Target="https://doi.org/10.32614/RJ-2018-009" TargetMode="External" /><Relationship Type="http://schemas.openxmlformats.org/officeDocument/2006/relationships/hyperlink" Id="rId134" Target="https://ggplot2.tidyverse.org" TargetMode="External" /><Relationship Type="http://schemas.openxmlformats.org/officeDocument/2006/relationships/hyperlink" Id="rId131" Target="https://www.R-project.org/" TargetMode="External" /><Relationship Type="http://schemas.openxmlformats.org/officeDocument/2006/relationships/hyperlink" Id="rId117" Target="https://www.fishbas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Coral Reef Health Assessment and Restoration Prioritisation</dc:title>
  <dc:creator/>
  <cp:keywords/>
  <dcterms:created xsi:type="dcterms:W3CDTF">2026-04-19T06:05:07Z</dcterms:created>
  <dcterms:modified xsi:type="dcterms:W3CDTF">2026-04-19T06:05:07Z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date">
    <vt:lpwstr>2026-04-19</vt:lpwstr>
  </property>
  <property fmtid="{D5CDD505-2E9C-101B-9397-08002B2CF9AE}" pid="5" name="execute">
    <vt:lpwstr/>
  </property>
  <property fmtid="{D5CDD505-2E9C-101B-9397-08002B2CF9AE}" pid="6" name="fig-cap-location">
    <vt:lpwstr>bottom</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link-citations">
    <vt:lpwstr>True</vt:lpwstr>
  </property>
  <property fmtid="{D5CDD505-2E9C-101B-9397-08002B2CF9AE}" pid="13" name="subtitle">
    <vt:lpwstr>Baseline Ecological Survey Report: Unguja North and Mtwara, Tanzania</vt:lpwstr>
  </property>
  <property fmtid="{D5CDD505-2E9C-101B-9397-08002B2CF9AE}" pid="14" name="toc-title">
    <vt:lpwstr>Table of contents</vt:lpwstr>
  </property>
</Properties>
</file>