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2C29" w:rsidRPr="00020DFE" w:rsidRDefault="00020DFE">
      <w:pPr>
        <w:rPr>
          <w:rStyle w:val="notion-enable-hover"/>
          <w:b/>
          <w:bCs/>
          <w:lang w:val="en-US"/>
        </w:rPr>
      </w:pPr>
      <w:r w:rsidRPr="00020DFE">
        <w:rPr>
          <w:rStyle w:val="notion-enable-hover"/>
          <w:b/>
          <w:bCs/>
          <w:lang w:val="en-US"/>
        </w:rPr>
        <w:t>Effects of increasing retirement age on mental health of older workers in the context of working conditions</w:t>
      </w:r>
    </w:p>
    <w:p w:rsidR="00020DFE" w:rsidRDefault="00020DFE">
      <w:pPr>
        <w:rPr>
          <w:rStyle w:val="notion-enable-hover"/>
          <w:b/>
          <w:bCs/>
          <w:lang w:val="en-US"/>
        </w:rPr>
      </w:pPr>
      <w:r>
        <w:rPr>
          <w:rStyle w:val="notion-enable-hover"/>
          <w:b/>
          <w:bCs/>
          <w:lang w:val="en-US"/>
        </w:rPr>
        <w:t xml:space="preserve">Abstract for the </w:t>
      </w:r>
      <w:proofErr w:type="spellStart"/>
      <w:r>
        <w:rPr>
          <w:rStyle w:val="notion-enable-hover"/>
          <w:b/>
          <w:bCs/>
          <w:lang w:val="en-US"/>
        </w:rPr>
        <w:t>EuHEA</w:t>
      </w:r>
      <w:proofErr w:type="spellEnd"/>
      <w:r>
        <w:rPr>
          <w:rStyle w:val="notion-enable-hover"/>
          <w:b/>
          <w:bCs/>
          <w:lang w:val="en-US"/>
        </w:rPr>
        <w:t xml:space="preserve"> Conference 2024</w:t>
      </w:r>
    </w:p>
    <w:p w:rsidR="00020DFE" w:rsidRDefault="00E11FAC">
      <w:pPr>
        <w:rPr>
          <w:b/>
          <w:bCs/>
          <w:i/>
          <w:iCs/>
          <w:lang w:val="en-US"/>
        </w:rPr>
      </w:pPr>
      <w:r w:rsidRPr="00E11FAC">
        <w:rPr>
          <w:b/>
          <w:bCs/>
          <w:i/>
          <w:iCs/>
          <w:lang w:val="en-US"/>
        </w:rPr>
        <w:t>Objectives</w:t>
      </w:r>
    </w:p>
    <w:p w:rsidR="006345D9" w:rsidRDefault="00532379">
      <w:pPr>
        <w:rPr>
          <w:lang w:val="en-US"/>
        </w:rPr>
      </w:pPr>
      <w:r w:rsidRPr="00532379">
        <w:rPr>
          <w:lang w:val="en-US"/>
        </w:rPr>
        <w:t xml:space="preserve">The aging population poses a significant challenge, threatening the long-term viability of pension systems across the EU. </w:t>
      </w:r>
      <w:r>
        <w:rPr>
          <w:lang w:val="en-US"/>
        </w:rPr>
        <w:t>O</w:t>
      </w:r>
      <w:r w:rsidRPr="00532379">
        <w:rPr>
          <w:lang w:val="en-US"/>
        </w:rPr>
        <w:t xml:space="preserve">ver the last decades, many countries have introduced reforms extending the working lifespan, thereby alleviating the financial burden on pension systems. However, an often-overlooked aspect is the </w:t>
      </w:r>
      <w:r w:rsidR="003568F0">
        <w:rPr>
          <w:lang w:val="en-US"/>
        </w:rPr>
        <w:t>well-being</w:t>
      </w:r>
      <w:r w:rsidRPr="00532379">
        <w:rPr>
          <w:lang w:val="en-US"/>
        </w:rPr>
        <w:t xml:space="preserve"> of senior workers</w:t>
      </w:r>
      <w:r w:rsidR="003568F0">
        <w:rPr>
          <w:lang w:val="en-US"/>
        </w:rPr>
        <w:t xml:space="preserve">, whose </w:t>
      </w:r>
      <w:r w:rsidR="003568F0" w:rsidRPr="00C02F61">
        <w:rPr>
          <w:lang w:val="en-US"/>
        </w:rPr>
        <w:t xml:space="preserve">mental and physical health can deteriorate towards the end of </w:t>
      </w:r>
      <w:r w:rsidR="003568F0">
        <w:rPr>
          <w:lang w:val="en-US"/>
        </w:rPr>
        <w:t xml:space="preserve">their </w:t>
      </w:r>
      <w:r w:rsidR="003568F0" w:rsidRPr="00C02F61">
        <w:rPr>
          <w:lang w:val="en-US"/>
        </w:rPr>
        <w:t>careers, linked to the strenuousness and quality of the jobs they hold (</w:t>
      </w:r>
      <w:proofErr w:type="spellStart"/>
      <w:r w:rsidR="003568F0" w:rsidRPr="00C02F61">
        <w:rPr>
          <w:lang w:val="en-US"/>
        </w:rPr>
        <w:t>Miranti</w:t>
      </w:r>
      <w:proofErr w:type="spellEnd"/>
      <w:r w:rsidR="003568F0" w:rsidRPr="00C02F61">
        <w:rPr>
          <w:lang w:val="en-US"/>
        </w:rPr>
        <w:t xml:space="preserve"> and Li, 2020). Delaying retirement age would, therefore, allow more time for workers' health to decline, placing a</w:t>
      </w:r>
      <w:r w:rsidR="00E80826" w:rsidRPr="00E80826">
        <w:rPr>
          <w:lang w:val="en-US"/>
        </w:rPr>
        <w:t>n a</w:t>
      </w:r>
      <w:r w:rsidR="00E80826">
        <w:rPr>
          <w:lang w:val="en-US"/>
        </w:rPr>
        <w:t xml:space="preserve">dditional </w:t>
      </w:r>
      <w:r w:rsidR="003568F0" w:rsidRPr="00C02F61">
        <w:rPr>
          <w:lang w:val="en-US"/>
        </w:rPr>
        <w:t xml:space="preserve">burden on social protection systems (health insurance, unemployment insurance) </w:t>
      </w:r>
      <w:r w:rsidR="003568F0">
        <w:rPr>
          <w:lang w:val="en-US"/>
        </w:rPr>
        <w:t>(</w:t>
      </w:r>
      <w:r w:rsidR="00E80826" w:rsidRPr="00E80826">
        <w:rPr>
          <w:lang w:val="en-US"/>
        </w:rPr>
        <w:t>Serrano-</w:t>
      </w:r>
      <w:proofErr w:type="spellStart"/>
      <w:r w:rsidR="00E80826" w:rsidRPr="00E80826">
        <w:rPr>
          <w:lang w:val="en-US"/>
        </w:rPr>
        <w:t>Alarcón</w:t>
      </w:r>
      <w:proofErr w:type="spellEnd"/>
      <w:r w:rsidR="00E80826">
        <w:rPr>
          <w:lang w:val="en-US"/>
        </w:rPr>
        <w:t xml:space="preserve"> et al., 2023; </w:t>
      </w:r>
      <w:r w:rsidR="00E80826" w:rsidRPr="00E80826">
        <w:rPr>
          <w:lang w:val="en-US"/>
        </w:rPr>
        <w:t>Li</w:t>
      </w:r>
      <w:r w:rsidR="00E80826">
        <w:rPr>
          <w:lang w:val="en-US"/>
        </w:rPr>
        <w:t>, 2018</w:t>
      </w:r>
      <w:r w:rsidR="003568F0">
        <w:rPr>
          <w:lang w:val="en-US"/>
        </w:rPr>
        <w:t>)</w:t>
      </w:r>
      <w:r w:rsidR="00AF2234">
        <w:rPr>
          <w:lang w:val="en-US"/>
        </w:rPr>
        <w:t>, although the relative significance of this effect is questionable (</w:t>
      </w:r>
      <w:r w:rsidR="00AF2234" w:rsidRPr="00AF2234">
        <w:rPr>
          <w:lang w:val="en-US"/>
        </w:rPr>
        <w:t>Hagen</w:t>
      </w:r>
      <w:r w:rsidR="00AF2234">
        <w:rPr>
          <w:lang w:val="en-US"/>
        </w:rPr>
        <w:t>, 2018)</w:t>
      </w:r>
      <w:r w:rsidR="003568F0" w:rsidRPr="00C02F61">
        <w:rPr>
          <w:lang w:val="en-US"/>
        </w:rPr>
        <w:t>.</w:t>
      </w:r>
      <w:r w:rsidR="003568F0">
        <w:rPr>
          <w:lang w:val="en-US"/>
        </w:rPr>
        <w:t xml:space="preserve"> </w:t>
      </w:r>
      <w:r w:rsidR="00977B08">
        <w:rPr>
          <w:lang w:val="en-US"/>
        </w:rPr>
        <w:t xml:space="preserve">Moreover, these reforms </w:t>
      </w:r>
      <w:r w:rsidR="00977B08" w:rsidRPr="00C02F61">
        <w:rPr>
          <w:lang w:val="en-US"/>
        </w:rPr>
        <w:t>underscore the societal value placed on preserving retirement years, implying that retirement is eagerly anticipated by a significant portion of the population.</w:t>
      </w:r>
      <w:r w:rsidR="00977B08">
        <w:rPr>
          <w:lang w:val="en-US"/>
        </w:rPr>
        <w:t xml:space="preserve"> </w:t>
      </w:r>
    </w:p>
    <w:p w:rsidR="00532379" w:rsidRDefault="006345D9">
      <w:pPr>
        <w:rPr>
          <w:lang w:val="en-US"/>
        </w:rPr>
      </w:pPr>
      <w:r>
        <w:rPr>
          <w:lang w:val="en-US"/>
        </w:rPr>
        <w:t>Several studies</w:t>
      </w:r>
      <w:r w:rsidRPr="00532379">
        <w:rPr>
          <w:lang w:val="en-US"/>
        </w:rPr>
        <w:t xml:space="preserve"> have attempted to analyze the effects of </w:t>
      </w:r>
      <w:r>
        <w:rPr>
          <w:lang w:val="en-US"/>
        </w:rPr>
        <w:t xml:space="preserve">pension </w:t>
      </w:r>
      <w:r w:rsidRPr="00532379">
        <w:rPr>
          <w:lang w:val="en-US"/>
        </w:rPr>
        <w:t xml:space="preserve">reforms on the mental health of older workers, with most suggesting adverse effects that escalate with a </w:t>
      </w:r>
      <w:r>
        <w:rPr>
          <w:lang w:val="en-US"/>
        </w:rPr>
        <w:t>greater</w:t>
      </w:r>
      <w:r w:rsidRPr="00532379">
        <w:rPr>
          <w:lang w:val="en-US"/>
        </w:rPr>
        <w:t xml:space="preserve"> work horizon </w:t>
      </w:r>
      <w:r>
        <w:rPr>
          <w:lang w:val="en-US"/>
        </w:rPr>
        <w:t xml:space="preserve">increase </w:t>
      </w:r>
      <w:r w:rsidRPr="00532379">
        <w:rPr>
          <w:lang w:val="en-US"/>
        </w:rPr>
        <w:t>(</w:t>
      </w:r>
      <w:r w:rsidRPr="007445E2">
        <w:rPr>
          <w:lang w:val="en-US"/>
        </w:rPr>
        <w:t>Serrano-</w:t>
      </w:r>
      <w:proofErr w:type="spellStart"/>
      <w:r w:rsidRPr="007445E2">
        <w:rPr>
          <w:lang w:val="en-US"/>
        </w:rPr>
        <w:t>Alarcón</w:t>
      </w:r>
      <w:proofErr w:type="spellEnd"/>
      <w:r>
        <w:rPr>
          <w:lang w:val="en-US"/>
        </w:rPr>
        <w:t xml:space="preserve"> et al., 2023; </w:t>
      </w:r>
      <w:proofErr w:type="spellStart"/>
      <w:r>
        <w:rPr>
          <w:lang w:val="en-US"/>
        </w:rPr>
        <w:t>Bertoni</w:t>
      </w:r>
      <w:proofErr w:type="spellEnd"/>
      <w:r>
        <w:rPr>
          <w:lang w:val="en-US"/>
        </w:rPr>
        <w:t xml:space="preserve"> et al., 2022; </w:t>
      </w:r>
      <w:proofErr w:type="spellStart"/>
      <w:r>
        <w:rPr>
          <w:lang w:val="en-US"/>
        </w:rPr>
        <w:t>Carrino</w:t>
      </w:r>
      <w:proofErr w:type="spellEnd"/>
      <w:r>
        <w:rPr>
          <w:lang w:val="en-US"/>
        </w:rPr>
        <w:t xml:space="preserve"> et al., 2020; de Grip, 2009</w:t>
      </w:r>
      <w:r w:rsidRPr="00532379">
        <w:rPr>
          <w:lang w:val="en-US"/>
        </w:rPr>
        <w:t>).</w:t>
      </w:r>
      <w:r>
        <w:rPr>
          <w:lang w:val="en-US"/>
        </w:rPr>
        <w:t xml:space="preserve"> </w:t>
      </w:r>
      <w:r w:rsidR="00532379" w:rsidRPr="00532379">
        <w:rPr>
          <w:lang w:val="en-US"/>
        </w:rPr>
        <w:t xml:space="preserve">Conversely, </w:t>
      </w:r>
      <w:r w:rsidR="00977B08" w:rsidRPr="00C02F61">
        <w:rPr>
          <w:lang w:val="en-US"/>
        </w:rPr>
        <w:t>an extended retirement horizon may also encourage businesses to invest in the skills of senior workers to retain them in employment (</w:t>
      </w:r>
      <w:proofErr w:type="spellStart"/>
      <w:r w:rsidR="00977B08" w:rsidRPr="00C02F61">
        <w:rPr>
          <w:lang w:val="en-US"/>
        </w:rPr>
        <w:t>Hairault</w:t>
      </w:r>
      <w:proofErr w:type="spellEnd"/>
      <w:r w:rsidR="00977B08" w:rsidRPr="00C02F61">
        <w:rPr>
          <w:lang w:val="en-US"/>
        </w:rPr>
        <w:t xml:space="preserve"> et al., 2010) and adapt jobs to their skills (</w:t>
      </w:r>
      <w:proofErr w:type="spellStart"/>
      <w:r w:rsidR="00977B08" w:rsidRPr="00C02F61">
        <w:rPr>
          <w:lang w:val="en-US"/>
        </w:rPr>
        <w:t>Miranti</w:t>
      </w:r>
      <w:proofErr w:type="spellEnd"/>
      <w:r w:rsidR="00977B08" w:rsidRPr="00C02F61">
        <w:rPr>
          <w:lang w:val="en-US"/>
        </w:rPr>
        <w:t xml:space="preserve"> and Li, 2020), potentially benefiting their mental health</w:t>
      </w:r>
      <w:r w:rsidR="00532379" w:rsidRPr="00532379">
        <w:rPr>
          <w:lang w:val="en-US"/>
        </w:rPr>
        <w:t>. Older workers may</w:t>
      </w:r>
      <w:r w:rsidR="00977B08">
        <w:rPr>
          <w:lang w:val="en-US"/>
        </w:rPr>
        <w:t xml:space="preserve"> </w:t>
      </w:r>
      <w:r w:rsidR="00532379" w:rsidRPr="00532379">
        <w:rPr>
          <w:lang w:val="en-US"/>
        </w:rPr>
        <w:t>also adopt healthier behaviors anticipating an extended work horizon</w:t>
      </w:r>
      <w:r w:rsidR="00977B08">
        <w:rPr>
          <w:lang w:val="en-US"/>
        </w:rPr>
        <w:t xml:space="preserve">, as found by </w:t>
      </w:r>
      <w:proofErr w:type="spellStart"/>
      <w:r w:rsidR="00977B08" w:rsidRPr="00977B08">
        <w:rPr>
          <w:lang w:val="en-US"/>
        </w:rPr>
        <w:t>Bertoni</w:t>
      </w:r>
      <w:proofErr w:type="spellEnd"/>
      <w:r w:rsidR="00977B08">
        <w:rPr>
          <w:lang w:val="en-US"/>
        </w:rPr>
        <w:t xml:space="preserve"> et al., 2018 for the</w:t>
      </w:r>
      <w:r w:rsidR="00977B08" w:rsidRPr="00977B08">
        <w:rPr>
          <w:lang w:val="en-US"/>
        </w:rPr>
        <w:t xml:space="preserve"> 2004 Italian pension reform</w:t>
      </w:r>
      <w:r w:rsidR="00977B08">
        <w:rPr>
          <w:lang w:val="en-US"/>
        </w:rPr>
        <w:t xml:space="preserve">. On the contrary, </w:t>
      </w:r>
      <w:r w:rsidR="00977B08" w:rsidRPr="00C02F61">
        <w:rPr>
          <w:lang w:val="en-US"/>
        </w:rPr>
        <w:t xml:space="preserve">Bauer and </w:t>
      </w:r>
      <w:proofErr w:type="spellStart"/>
      <w:r w:rsidR="00977B08" w:rsidRPr="00C02F61">
        <w:rPr>
          <w:lang w:val="en-US"/>
        </w:rPr>
        <w:t>Eichenberger</w:t>
      </w:r>
      <w:proofErr w:type="spellEnd"/>
      <w:r w:rsidR="004A6225">
        <w:rPr>
          <w:lang w:val="en-US"/>
        </w:rPr>
        <w:t xml:space="preserve">, </w:t>
      </w:r>
      <w:r w:rsidR="00977B08" w:rsidRPr="00C02F61">
        <w:rPr>
          <w:lang w:val="en-US"/>
        </w:rPr>
        <w:t>2021 illustrate this by showing that lowering the legal retirement age from 65 to 60 in the Swiss construction sector led to a 33% increase in sick leave between ages 56 and 60.</w:t>
      </w:r>
    </w:p>
    <w:p w:rsidR="00532379" w:rsidRDefault="006345D9">
      <w:pPr>
        <w:rPr>
          <w:lang w:val="en-US"/>
        </w:rPr>
      </w:pPr>
      <w:r>
        <w:rPr>
          <w:lang w:val="en-US"/>
        </w:rPr>
        <w:t>T</w:t>
      </w:r>
      <w:r w:rsidR="00532379" w:rsidRPr="00532379">
        <w:rPr>
          <w:lang w:val="en-US"/>
        </w:rPr>
        <w:t>he literature debate on well-being and mental health throughout the life cycle reveals diverse patterns</w:t>
      </w:r>
      <w:r w:rsidR="00B31A95">
        <w:rPr>
          <w:lang w:val="en-US"/>
        </w:rPr>
        <w:t xml:space="preserve"> – U-shape, inverse U-shape, and other relationships</w:t>
      </w:r>
      <w:r w:rsidR="00532379" w:rsidRPr="00532379">
        <w:rPr>
          <w:lang w:val="en-US"/>
        </w:rPr>
        <w:t xml:space="preserve"> (Bell, 2014; </w:t>
      </w:r>
      <w:proofErr w:type="spellStart"/>
      <w:r w:rsidR="00532379" w:rsidRPr="00532379">
        <w:rPr>
          <w:lang w:val="en-US"/>
        </w:rPr>
        <w:t>Frijters</w:t>
      </w:r>
      <w:proofErr w:type="spellEnd"/>
      <w:r w:rsidR="00532379" w:rsidRPr="00532379">
        <w:rPr>
          <w:lang w:val="en-US"/>
        </w:rPr>
        <w:t xml:space="preserve"> and </w:t>
      </w:r>
      <w:proofErr w:type="spellStart"/>
      <w:r w:rsidR="00532379" w:rsidRPr="00532379">
        <w:rPr>
          <w:lang w:val="en-US"/>
        </w:rPr>
        <w:t>Beatton</w:t>
      </w:r>
      <w:proofErr w:type="spellEnd"/>
      <w:r w:rsidR="00532379" w:rsidRPr="00532379">
        <w:rPr>
          <w:lang w:val="en-US"/>
        </w:rPr>
        <w:t>, 2012</w:t>
      </w:r>
      <w:r w:rsidR="007445E2">
        <w:rPr>
          <w:lang w:val="en-US"/>
        </w:rPr>
        <w:t>;</w:t>
      </w:r>
      <w:r w:rsidR="007445E2" w:rsidRPr="007445E2">
        <w:rPr>
          <w:lang w:val="en-US"/>
        </w:rPr>
        <w:t xml:space="preserve"> </w:t>
      </w:r>
      <w:r w:rsidR="007445E2" w:rsidRPr="00532379">
        <w:rPr>
          <w:lang w:val="en-US"/>
        </w:rPr>
        <w:t>Blanchflower and Oswald, 2008</w:t>
      </w:r>
      <w:r w:rsidR="00532379" w:rsidRPr="00532379">
        <w:rPr>
          <w:lang w:val="en-US"/>
        </w:rPr>
        <w:t xml:space="preserve">), </w:t>
      </w:r>
      <w:r w:rsidR="007445E2" w:rsidRPr="00C02F61">
        <w:rPr>
          <w:lang w:val="en-US"/>
        </w:rPr>
        <w:t>suggest</w:t>
      </w:r>
      <w:r w:rsidR="007445E2">
        <w:rPr>
          <w:lang w:val="en-US"/>
        </w:rPr>
        <w:t>ing</w:t>
      </w:r>
      <w:r w:rsidR="007445E2" w:rsidRPr="00C02F61">
        <w:rPr>
          <w:lang w:val="en-US"/>
        </w:rPr>
        <w:t xml:space="preserve"> that the end of the career is not universally understood across countries, depending on retirement systems and senior employment policies.</w:t>
      </w:r>
      <w:r w:rsidR="00532379" w:rsidRPr="00532379">
        <w:rPr>
          <w:lang w:val="en-US"/>
        </w:rPr>
        <w:t xml:space="preserve"> </w:t>
      </w:r>
      <w:r w:rsidR="007445E2">
        <w:rPr>
          <w:lang w:val="en-US"/>
        </w:rPr>
        <w:t>However, to the best of our knowledge, m</w:t>
      </w:r>
      <w:r w:rsidR="00532379" w:rsidRPr="00532379">
        <w:rPr>
          <w:lang w:val="en-US"/>
        </w:rPr>
        <w:t xml:space="preserve">ulti-country studies on the effects of </w:t>
      </w:r>
      <w:r w:rsidR="007445E2">
        <w:rPr>
          <w:lang w:val="en-US"/>
        </w:rPr>
        <w:t xml:space="preserve">pension </w:t>
      </w:r>
      <w:r w:rsidR="00532379" w:rsidRPr="00532379">
        <w:rPr>
          <w:lang w:val="en-US"/>
        </w:rPr>
        <w:t xml:space="preserve">reforms on mental health are scarce, with </w:t>
      </w:r>
      <w:proofErr w:type="spellStart"/>
      <w:r w:rsidR="007445E2" w:rsidRPr="00532379">
        <w:rPr>
          <w:lang w:val="en-US"/>
        </w:rPr>
        <w:t>Bertoni</w:t>
      </w:r>
      <w:proofErr w:type="spellEnd"/>
      <w:r w:rsidR="007445E2">
        <w:rPr>
          <w:lang w:val="en-US"/>
        </w:rPr>
        <w:t xml:space="preserve"> et al., </w:t>
      </w:r>
      <w:r w:rsidR="007445E2" w:rsidRPr="00532379">
        <w:rPr>
          <w:lang w:val="en-US"/>
        </w:rPr>
        <w:t xml:space="preserve">2022 </w:t>
      </w:r>
      <w:r w:rsidR="00532379" w:rsidRPr="00532379">
        <w:rPr>
          <w:lang w:val="en-US"/>
        </w:rPr>
        <w:t xml:space="preserve">being </w:t>
      </w:r>
      <w:r w:rsidR="00F76FD1">
        <w:rPr>
          <w:lang w:val="en-US"/>
        </w:rPr>
        <w:t>a notable</w:t>
      </w:r>
      <w:r w:rsidR="00532379" w:rsidRPr="00532379">
        <w:rPr>
          <w:lang w:val="en-US"/>
        </w:rPr>
        <w:t xml:space="preserve"> exception.</w:t>
      </w:r>
    </w:p>
    <w:p w:rsidR="00B531EC" w:rsidRDefault="007445E2">
      <w:pPr>
        <w:rPr>
          <w:lang w:val="en-US"/>
        </w:rPr>
      </w:pPr>
      <w:r>
        <w:rPr>
          <w:lang w:val="en-US"/>
        </w:rPr>
        <w:t xml:space="preserve">Notably, </w:t>
      </w:r>
      <w:r w:rsidR="00BC2873">
        <w:rPr>
          <w:lang w:val="en-US"/>
        </w:rPr>
        <w:t>many</w:t>
      </w:r>
      <w:r>
        <w:rPr>
          <w:lang w:val="en-US"/>
        </w:rPr>
        <w:t xml:space="preserve"> </w:t>
      </w:r>
      <w:r w:rsidR="00BC2873">
        <w:rPr>
          <w:lang w:val="en-US"/>
        </w:rPr>
        <w:t>authors</w:t>
      </w:r>
      <w:r>
        <w:rPr>
          <w:lang w:val="en-US"/>
        </w:rPr>
        <w:t xml:space="preserve"> find</w:t>
      </w:r>
      <w:r w:rsidR="003568F0" w:rsidRPr="003568F0">
        <w:rPr>
          <w:lang w:val="en-US"/>
        </w:rPr>
        <w:t xml:space="preserve"> heterogeneous effects depending on working conditions, such as increased depression in jobs with a high risk of automation (</w:t>
      </w:r>
      <w:proofErr w:type="spellStart"/>
      <w:r w:rsidR="003568F0" w:rsidRPr="003568F0">
        <w:rPr>
          <w:lang w:val="en-US"/>
        </w:rPr>
        <w:t>Bertoni</w:t>
      </w:r>
      <w:proofErr w:type="spellEnd"/>
      <w:r w:rsidR="003568F0" w:rsidRPr="003568F0">
        <w:rPr>
          <w:lang w:val="en-US"/>
        </w:rPr>
        <w:t xml:space="preserve"> et al., 2022) and elevated depression </w:t>
      </w:r>
      <w:r>
        <w:rPr>
          <w:lang w:val="en-US"/>
        </w:rPr>
        <w:t>for</w:t>
      </w:r>
      <w:r w:rsidR="003568F0" w:rsidRPr="003568F0">
        <w:rPr>
          <w:lang w:val="en-US"/>
        </w:rPr>
        <w:t xml:space="preserve"> women in lower occupational grades with high-strain jobs (</w:t>
      </w:r>
      <w:proofErr w:type="spellStart"/>
      <w:r w:rsidR="003568F0" w:rsidRPr="003568F0">
        <w:rPr>
          <w:lang w:val="en-US"/>
        </w:rPr>
        <w:t>Carrino</w:t>
      </w:r>
      <w:proofErr w:type="spellEnd"/>
      <w:r w:rsidR="003568F0" w:rsidRPr="003568F0">
        <w:rPr>
          <w:lang w:val="en-US"/>
        </w:rPr>
        <w:t xml:space="preserve"> et al., 2020). Other authors have</w:t>
      </w:r>
      <w:r>
        <w:rPr>
          <w:lang w:val="en-US"/>
        </w:rPr>
        <w:t xml:space="preserve"> also</w:t>
      </w:r>
      <w:r w:rsidR="003568F0" w:rsidRPr="003568F0">
        <w:rPr>
          <w:lang w:val="en-US"/>
        </w:rPr>
        <w:t xml:space="preserve"> </w:t>
      </w:r>
      <w:r>
        <w:rPr>
          <w:lang w:val="en-US"/>
        </w:rPr>
        <w:lastRenderedPageBreak/>
        <w:t>demonstrated</w:t>
      </w:r>
      <w:r w:rsidR="003568F0" w:rsidRPr="003568F0">
        <w:rPr>
          <w:lang w:val="en-US"/>
        </w:rPr>
        <w:t xml:space="preserve"> th</w:t>
      </w:r>
      <w:r w:rsidR="00B531EC">
        <w:rPr>
          <w:lang w:val="en-US"/>
        </w:rPr>
        <w:t xml:space="preserve">is </w:t>
      </w:r>
      <w:r w:rsidR="003568F0" w:rsidRPr="003568F0">
        <w:rPr>
          <w:lang w:val="en-US"/>
        </w:rPr>
        <w:t xml:space="preserve">relationship between working conditions and mental health, </w:t>
      </w:r>
      <w:r w:rsidR="00B531EC">
        <w:rPr>
          <w:lang w:val="en-US"/>
        </w:rPr>
        <w:t>highlighting</w:t>
      </w:r>
      <w:r w:rsidR="003568F0" w:rsidRPr="003568F0">
        <w:rPr>
          <w:lang w:val="en-US"/>
        </w:rPr>
        <w:t xml:space="preserve"> </w:t>
      </w:r>
      <w:r>
        <w:rPr>
          <w:lang w:val="en-US"/>
        </w:rPr>
        <w:t xml:space="preserve">lower-grade </w:t>
      </w:r>
      <w:r w:rsidR="003568F0" w:rsidRPr="003568F0">
        <w:rPr>
          <w:lang w:val="en-US"/>
        </w:rPr>
        <w:t>high-strain</w:t>
      </w:r>
      <w:r>
        <w:rPr>
          <w:lang w:val="en-US"/>
        </w:rPr>
        <w:t>,</w:t>
      </w:r>
      <w:r w:rsidR="003568F0" w:rsidRPr="003568F0">
        <w:rPr>
          <w:lang w:val="en-US"/>
        </w:rPr>
        <w:t xml:space="preserve"> and physically demanding (</w:t>
      </w:r>
      <w:proofErr w:type="spellStart"/>
      <w:r w:rsidR="00B531EC">
        <w:rPr>
          <w:lang w:val="en-US"/>
        </w:rPr>
        <w:t>Belloni</w:t>
      </w:r>
      <w:proofErr w:type="spellEnd"/>
      <w:r w:rsidR="00B531EC">
        <w:rPr>
          <w:lang w:val="en-US"/>
        </w:rPr>
        <w:t xml:space="preserve"> et al., 2022; </w:t>
      </w:r>
      <w:r w:rsidR="00B531EC" w:rsidRPr="00B531EC">
        <w:rPr>
          <w:lang w:val="en-US"/>
        </w:rPr>
        <w:t>Shai</w:t>
      </w:r>
      <w:r w:rsidR="00B531EC">
        <w:rPr>
          <w:lang w:val="en-US"/>
        </w:rPr>
        <w:t xml:space="preserve">, 2018; </w:t>
      </w:r>
      <w:proofErr w:type="spellStart"/>
      <w:r w:rsidR="00B531EC" w:rsidRPr="00B531EC">
        <w:rPr>
          <w:lang w:val="en-US"/>
        </w:rPr>
        <w:t>Henseke</w:t>
      </w:r>
      <w:proofErr w:type="spellEnd"/>
      <w:r w:rsidR="00B531EC">
        <w:rPr>
          <w:lang w:val="en-US"/>
        </w:rPr>
        <w:t>, 2018</w:t>
      </w:r>
      <w:r w:rsidR="003568F0" w:rsidRPr="003568F0">
        <w:rPr>
          <w:lang w:val="en-US"/>
        </w:rPr>
        <w:t xml:space="preserve">). </w:t>
      </w:r>
    </w:p>
    <w:p w:rsidR="001D2D80" w:rsidRPr="00532379" w:rsidRDefault="001D2D80" w:rsidP="001D2D80">
      <w:pPr>
        <w:rPr>
          <w:lang w:val="en-US"/>
        </w:rPr>
      </w:pPr>
      <w:r w:rsidRPr="001D2D80">
        <w:rPr>
          <w:lang w:val="en-US"/>
        </w:rPr>
        <w:t xml:space="preserve">Building upon the </w:t>
      </w:r>
      <w:r>
        <w:rPr>
          <w:lang w:val="en-US"/>
        </w:rPr>
        <w:t>work</w:t>
      </w:r>
      <w:r w:rsidRPr="001D2D80">
        <w:rPr>
          <w:lang w:val="en-US"/>
        </w:rPr>
        <w:t xml:space="preserve"> </w:t>
      </w:r>
      <w:r>
        <w:rPr>
          <w:lang w:val="en-US"/>
        </w:rPr>
        <w:t>of</w:t>
      </w:r>
      <w:r w:rsidRPr="001D2D80">
        <w:rPr>
          <w:lang w:val="en-US"/>
        </w:rPr>
        <w:t xml:space="preserve"> </w:t>
      </w:r>
      <w:proofErr w:type="spellStart"/>
      <w:r w:rsidR="00417851">
        <w:rPr>
          <w:lang w:val="en-US"/>
        </w:rPr>
        <w:t>Bertoni</w:t>
      </w:r>
      <w:proofErr w:type="spellEnd"/>
      <w:r w:rsidRPr="001D2D80">
        <w:rPr>
          <w:lang w:val="en-US"/>
        </w:rPr>
        <w:t xml:space="preserve"> et al. (2022) and </w:t>
      </w:r>
      <w:proofErr w:type="spellStart"/>
      <w:r w:rsidRPr="001D2D80">
        <w:rPr>
          <w:lang w:val="en-US"/>
        </w:rPr>
        <w:t>Carrino</w:t>
      </w:r>
      <w:proofErr w:type="spellEnd"/>
      <w:r w:rsidRPr="001D2D80">
        <w:rPr>
          <w:lang w:val="en-US"/>
        </w:rPr>
        <w:t xml:space="preserve"> et al. (2020), we strive to offer a more detailed exploration of the relationship between an extended work horizon and mental health </w:t>
      </w:r>
      <w:r>
        <w:rPr>
          <w:lang w:val="en-US"/>
        </w:rPr>
        <w:t>in the context</w:t>
      </w:r>
      <w:r w:rsidRPr="001D2D80">
        <w:rPr>
          <w:lang w:val="en-US"/>
        </w:rPr>
        <w:t xml:space="preserve"> </w:t>
      </w:r>
      <w:r>
        <w:rPr>
          <w:lang w:val="en-US"/>
        </w:rPr>
        <w:t xml:space="preserve">of </w:t>
      </w:r>
      <w:r w:rsidRPr="001D2D80">
        <w:rPr>
          <w:lang w:val="en-US"/>
        </w:rPr>
        <w:t>diverse work</w:t>
      </w:r>
      <w:r>
        <w:rPr>
          <w:lang w:val="en-US"/>
        </w:rPr>
        <w:t xml:space="preserve">ing </w:t>
      </w:r>
      <w:r w:rsidRPr="001D2D80">
        <w:rPr>
          <w:lang w:val="en-US"/>
        </w:rPr>
        <w:t xml:space="preserve">conditions. </w:t>
      </w:r>
      <w:r>
        <w:rPr>
          <w:lang w:val="en-US"/>
        </w:rPr>
        <w:t>W</w:t>
      </w:r>
      <w:r w:rsidRPr="001D2D80">
        <w:rPr>
          <w:lang w:val="en-US"/>
        </w:rPr>
        <w:t xml:space="preserve">e </w:t>
      </w:r>
      <w:r>
        <w:rPr>
          <w:lang w:val="en-US"/>
        </w:rPr>
        <w:t xml:space="preserve">combine </w:t>
      </w:r>
      <w:r w:rsidRPr="001D2D80">
        <w:rPr>
          <w:lang w:val="en-US"/>
        </w:rPr>
        <w:t>comprehensive longitudinal data on working conditions from the European Working Conditions Surve</w:t>
      </w:r>
      <w:r>
        <w:rPr>
          <w:lang w:val="en-US"/>
        </w:rPr>
        <w:t>y</w:t>
      </w:r>
      <w:r w:rsidR="004D1AF6">
        <w:rPr>
          <w:lang w:val="en-US"/>
        </w:rPr>
        <w:t>, aggregated at the level of 4-digit ISCO codes,</w:t>
      </w:r>
      <w:r>
        <w:rPr>
          <w:lang w:val="en-US"/>
        </w:rPr>
        <w:t xml:space="preserve"> with </w:t>
      </w:r>
      <w:r w:rsidRPr="00B531EC">
        <w:rPr>
          <w:lang w:val="en-US"/>
        </w:rPr>
        <w:t>microdata from</w:t>
      </w:r>
      <w:r>
        <w:rPr>
          <w:lang w:val="en-US"/>
        </w:rPr>
        <w:t xml:space="preserve"> 10 EU countries from </w:t>
      </w:r>
      <w:r w:rsidRPr="001D2D80">
        <w:rPr>
          <w:lang w:val="en-US"/>
        </w:rPr>
        <w:t xml:space="preserve">the Survey of Health, Ageing and Retirement in Europe. </w:t>
      </w:r>
      <w:r w:rsidR="004D1AF6">
        <w:rPr>
          <w:lang w:val="en-US"/>
        </w:rPr>
        <w:t>W</w:t>
      </w:r>
      <w:r>
        <w:rPr>
          <w:lang w:val="en-US"/>
        </w:rPr>
        <w:t xml:space="preserve">e </w:t>
      </w:r>
      <w:r w:rsidRPr="003568F0">
        <w:rPr>
          <w:lang w:val="en-US"/>
        </w:rPr>
        <w:t>distinguish ourselves from previous studies</w:t>
      </w:r>
      <w:r w:rsidR="004D1AF6">
        <w:rPr>
          <w:lang w:val="en-US"/>
        </w:rPr>
        <w:t xml:space="preserve"> b</w:t>
      </w:r>
      <w:r w:rsidR="004D1AF6" w:rsidRPr="003568F0">
        <w:rPr>
          <w:lang w:val="en-US"/>
        </w:rPr>
        <w:t>y incorporating exogenous</w:t>
      </w:r>
      <w:r w:rsidR="004D1AF6">
        <w:rPr>
          <w:lang w:val="en-US"/>
        </w:rPr>
        <w:t xml:space="preserve"> data on working conditions and</w:t>
      </w:r>
      <w:r w:rsidRPr="003568F0">
        <w:rPr>
          <w:lang w:val="en-US"/>
        </w:rPr>
        <w:t xml:space="preserve"> providing a comprehensive analysis of the relationship between retirement policies</w:t>
      </w:r>
      <w:r w:rsidR="004D1AF6">
        <w:rPr>
          <w:lang w:val="en-US"/>
        </w:rPr>
        <w:t xml:space="preserve"> </w:t>
      </w:r>
      <w:r w:rsidRPr="003568F0">
        <w:rPr>
          <w:lang w:val="en-US"/>
        </w:rPr>
        <w:t>and mental health outcomes</w:t>
      </w:r>
      <w:r w:rsidR="004D1AF6">
        <w:rPr>
          <w:lang w:val="en-US"/>
        </w:rPr>
        <w:t xml:space="preserve"> in the context of job-related work characteristics</w:t>
      </w:r>
      <w:r w:rsidRPr="003568F0">
        <w:rPr>
          <w:lang w:val="en-US"/>
        </w:rPr>
        <w:t>.</w:t>
      </w:r>
    </w:p>
    <w:p w:rsidR="00532379" w:rsidRDefault="004D1AF6">
      <w:pPr>
        <w:rPr>
          <w:b/>
          <w:bCs/>
          <w:i/>
          <w:iCs/>
          <w:lang w:val="en-US"/>
        </w:rPr>
      </w:pPr>
      <w:r w:rsidRPr="004D1AF6">
        <w:rPr>
          <w:b/>
          <w:bCs/>
          <w:i/>
          <w:iCs/>
          <w:lang w:val="en-US"/>
        </w:rPr>
        <w:t>Methods</w:t>
      </w:r>
    </w:p>
    <w:p w:rsidR="004D1AF6" w:rsidRPr="00FB2777" w:rsidRDefault="004D1AF6">
      <w:pPr>
        <w:rPr>
          <w:lang w:val="ru-RU"/>
        </w:rPr>
      </w:pPr>
    </w:p>
    <w:p w:rsidR="004D1AF6" w:rsidRPr="004D1AF6" w:rsidRDefault="004D1AF6">
      <w:pPr>
        <w:rPr>
          <w:b/>
          <w:bCs/>
          <w:lang w:val="en-US"/>
        </w:rPr>
      </w:pPr>
    </w:p>
    <w:p w:rsidR="00E11FAC" w:rsidRPr="00C02F61" w:rsidRDefault="00E11FAC">
      <w:pPr>
        <w:rPr>
          <w:lang w:val="en-US"/>
        </w:rPr>
      </w:pPr>
    </w:p>
    <w:sectPr w:rsidR="00E11FAC" w:rsidRPr="00C02F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FE"/>
    <w:rsid w:val="00020DFE"/>
    <w:rsid w:val="000235EC"/>
    <w:rsid w:val="0016449D"/>
    <w:rsid w:val="001A2651"/>
    <w:rsid w:val="001D2D80"/>
    <w:rsid w:val="002E3B46"/>
    <w:rsid w:val="003568F0"/>
    <w:rsid w:val="00362C29"/>
    <w:rsid w:val="00417851"/>
    <w:rsid w:val="004A6225"/>
    <w:rsid w:val="004D1AF6"/>
    <w:rsid w:val="00532379"/>
    <w:rsid w:val="005A176D"/>
    <w:rsid w:val="00606B4B"/>
    <w:rsid w:val="006100C0"/>
    <w:rsid w:val="006345D9"/>
    <w:rsid w:val="006C4BFD"/>
    <w:rsid w:val="006D5845"/>
    <w:rsid w:val="007419F6"/>
    <w:rsid w:val="007445E2"/>
    <w:rsid w:val="00781162"/>
    <w:rsid w:val="00810EA8"/>
    <w:rsid w:val="008D1DE0"/>
    <w:rsid w:val="0093293C"/>
    <w:rsid w:val="00977B08"/>
    <w:rsid w:val="00AF2234"/>
    <w:rsid w:val="00B31A95"/>
    <w:rsid w:val="00B531EC"/>
    <w:rsid w:val="00BC2873"/>
    <w:rsid w:val="00C02F61"/>
    <w:rsid w:val="00C9401D"/>
    <w:rsid w:val="00DA6A0C"/>
    <w:rsid w:val="00E11FAC"/>
    <w:rsid w:val="00E80826"/>
    <w:rsid w:val="00EA109E"/>
    <w:rsid w:val="00F50C68"/>
    <w:rsid w:val="00F76FD1"/>
    <w:rsid w:val="00F855BD"/>
    <w:rsid w:val="00FB2777"/>
    <w:rsid w:val="00FE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534B95"/>
  <w15:chartTrackingRefBased/>
  <w15:docId w15:val="{6C6C3498-1E74-1841-B668-FA1ABDD4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606B4B"/>
    <w:pPr>
      <w:spacing w:before="120" w:after="120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06B4B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6B4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notion-enable-hover">
    <w:name w:val="notion-enable-hover"/>
    <w:basedOn w:val="Policepardfaut"/>
    <w:rsid w:val="00020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1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6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605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lugovalexa@outlook.fr</dc:creator>
  <cp:keywords/>
  <dc:description/>
  <cp:lastModifiedBy>lugovalexa@outlook.fr</cp:lastModifiedBy>
  <cp:revision>7</cp:revision>
  <dcterms:created xsi:type="dcterms:W3CDTF">2024-01-17T09:31:00Z</dcterms:created>
  <dcterms:modified xsi:type="dcterms:W3CDTF">2024-01-19T10:50:00Z</dcterms:modified>
</cp:coreProperties>
</file>