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90BB" w14:textId="647ABB68" w:rsidR="00C127EC" w:rsidRDefault="001054F1">
      <w:r w:rsidRPr="001054F1">
        <w:t>https://blog.csdn.net/weixin_42887343/article/details/120664818</w:t>
      </w:r>
    </w:p>
    <w:p w14:paraId="53746297" w14:textId="77777777" w:rsidR="001054F1" w:rsidRDefault="001054F1"/>
    <w:p w14:paraId="4A292E36" w14:textId="41D22C3F" w:rsidR="001054F1" w:rsidRDefault="001054F1">
      <w:r>
        <w:rPr>
          <w:noProof/>
        </w:rPr>
        <w:drawing>
          <wp:inline distT="0" distB="0" distL="0" distR="0" wp14:anchorId="7BABC0B9" wp14:editId="0E579E63">
            <wp:extent cx="5274310" cy="3582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4993" w14:textId="6E2B5A53" w:rsidR="00387F13" w:rsidRDefault="00387F13"/>
    <w:p w14:paraId="10351EC3" w14:textId="60E9D503" w:rsidR="00387F13" w:rsidRDefault="00387F13"/>
    <w:p w14:paraId="059DBA72" w14:textId="4C603B90" w:rsidR="00387F13" w:rsidRDefault="00387F13">
      <w:pPr>
        <w:rPr>
          <w:rFonts w:hint="eastAsia"/>
        </w:rPr>
      </w:pPr>
      <w:r>
        <w:rPr>
          <w:noProof/>
        </w:rPr>
        <w:drawing>
          <wp:inline distT="0" distB="0" distL="0" distR="0" wp14:anchorId="22D9D7C2" wp14:editId="3F4FF9F8">
            <wp:extent cx="5274310" cy="1524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25"/>
    <w:rsid w:val="001054F1"/>
    <w:rsid w:val="00387F13"/>
    <w:rsid w:val="003B7DFB"/>
    <w:rsid w:val="00484425"/>
    <w:rsid w:val="0072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DA97"/>
  <w15:chartTrackingRefBased/>
  <w15:docId w15:val="{9002CC73-01FE-4F31-809B-6708628B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2022-10-08T07:07:00Z</dcterms:created>
  <dcterms:modified xsi:type="dcterms:W3CDTF">2022-10-08T07:07:00Z</dcterms:modified>
</cp:coreProperties>
</file>