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AEE4C">
      <w:pPr>
        <w:keepNext w:val="0"/>
        <w:keepLines w:val="0"/>
        <w:widowControl/>
        <w:suppressLineNumbers w:val="0"/>
        <w:jc w:val="center"/>
        <w:rPr>
          <w:rFonts w:ascii="宋体" w:hAnsi="宋体" w:eastAsia="宋体" w:cs="宋体"/>
          <w:b/>
          <w:bCs/>
          <w:sz w:val="44"/>
          <w:szCs w:val="44"/>
        </w:rPr>
      </w:pPr>
      <w:r>
        <w:rPr>
          <w:rFonts w:ascii="宋体" w:hAnsi="宋体" w:eastAsia="宋体" w:cs="宋体"/>
          <w:b/>
          <w:bCs/>
          <w:sz w:val="44"/>
          <w:szCs w:val="44"/>
        </w:rPr>
        <w:t>基于大语言模型微调的统计类实习岗位推荐解释与技能差距分析</w:t>
      </w:r>
    </w:p>
    <w:p w14:paraId="67074366">
      <w:pPr>
        <w:keepNext w:val="0"/>
        <w:keepLines w:val="0"/>
        <w:widowControl/>
        <w:suppressLineNumbers w:val="0"/>
        <w:jc w:val="center"/>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小组成员及分工附在最后一页</w:t>
      </w:r>
      <w:r>
        <w:rPr>
          <w:rFonts w:hint="eastAsia" w:ascii="宋体" w:hAnsi="宋体" w:eastAsia="宋体" w:cs="宋体"/>
          <w:b w:val="0"/>
          <w:bCs w:val="0"/>
          <w:sz w:val="24"/>
          <w:szCs w:val="24"/>
          <w:lang w:eastAsia="zh-CN"/>
        </w:rPr>
        <w:t>）</w:t>
      </w:r>
    </w:p>
    <w:p w14:paraId="788780C9">
      <w:pPr>
        <w:pStyle w:val="10"/>
        <w:keepNext w:val="0"/>
        <w:keepLines w:val="0"/>
        <w:widowControl/>
        <w:suppressLineNumbers w:val="0"/>
        <w:spacing w:before="0" w:beforeAutospacing="1" w:after="0" w:afterAutospacing="1"/>
        <w:ind w:right="0"/>
        <w:jc w:val="center"/>
        <w:rPr>
          <w:rFonts w:hint="eastAsia" w:ascii="宋体" w:hAnsi="宋体" w:eastAsia="宋体" w:cs="宋体"/>
          <w:b/>
          <w:bCs/>
          <w:sz w:val="28"/>
          <w:szCs w:val="24"/>
          <w:lang w:val="en-US" w:eastAsia="zh-CN"/>
        </w:rPr>
      </w:pPr>
      <w:r>
        <w:rPr>
          <w:rFonts w:hint="eastAsia" w:ascii="宋体" w:hAnsi="宋体" w:eastAsia="宋体" w:cs="宋体"/>
          <w:b/>
          <w:bCs/>
          <w:sz w:val="28"/>
          <w:szCs w:val="24"/>
          <w:lang w:val="en-US" w:eastAsia="zh-CN"/>
        </w:rPr>
        <w:t>摘要</w:t>
      </w:r>
    </w:p>
    <w:p w14:paraId="0E9979CC">
      <w:pPr>
        <w:pStyle w:val="10"/>
        <w:keepNext w:val="0"/>
        <w:keepLines w:val="0"/>
        <w:widowControl/>
        <w:suppressLineNumbers w:val="0"/>
        <w:spacing w:before="0" w:beforeAutospacing="1" w:after="0" w:afterAutospacing="1"/>
        <w:ind w:left="0" w:right="0" w:firstLine="420" w:firstLineChars="0"/>
        <w:rPr>
          <w:rFonts w:hint="eastAsia" w:ascii="宋体" w:hAnsi="宋体" w:eastAsia="宋体" w:cs="宋体"/>
          <w:sz w:val="22"/>
          <w:szCs w:val="21"/>
        </w:rPr>
      </w:pPr>
      <w:r>
        <w:rPr>
          <w:rFonts w:hint="eastAsia" w:ascii="宋体" w:hAnsi="宋体" w:eastAsia="宋体" w:cs="宋体"/>
          <w:sz w:val="22"/>
          <w:szCs w:val="21"/>
        </w:rPr>
        <w:t>随着人工智能技术的发展和就业市场信息量的增加，统计学专业学生在实习求职过程中常常面临岗位数量庞大、职业方向分散、岗位要求差异明显以及个人能力与岗位需求难以匹配等问题。针对通用大语言模型在实习推荐场景中存在建议泛化、缺乏具体岗位匹配依据和技能差距分析不足等局限，本文构建了一个面向统计类实习岗位推荐的大语言模型微调系统。</w:t>
      </w:r>
    </w:p>
    <w:p w14:paraId="23EA8C39">
      <w:pPr>
        <w:pStyle w:val="10"/>
        <w:keepNext w:val="0"/>
        <w:keepLines w:val="0"/>
        <w:widowControl/>
        <w:suppressLineNumbers w:val="0"/>
        <w:ind w:firstLine="420" w:firstLineChars="0"/>
        <w:rPr>
          <w:rFonts w:hint="eastAsia" w:ascii="宋体" w:hAnsi="宋体" w:eastAsia="宋体" w:cs="宋体"/>
          <w:sz w:val="22"/>
          <w:szCs w:val="21"/>
        </w:rPr>
      </w:pPr>
      <w:r>
        <w:rPr>
          <w:rFonts w:hint="eastAsia" w:ascii="宋体" w:hAnsi="宋体" w:eastAsia="宋体" w:cs="宋体"/>
          <w:sz w:val="22"/>
          <w:szCs w:val="21"/>
        </w:rPr>
        <w:t>本研究首先从字节跳动、腾讯和美团等企业招聘平台采集真实岗位数据，并经过文本清洗、跨平台去重、字段标准化、岗位方向标注和技能词典构建，形成结构化岗位数据集。在此基础上，项目进一步生成统计学学生虚拟求职者画像，并结合岗位特征、用户偏好、目标城市和技能匹配情况进行人岗匹配，筛选出 Top 3 推荐岗位。随后，利用大模型生成推荐理由、技能缺口分析和提升建议，并将样本转换为监督微调所需的 instruction-input-output 格式，构建用于模型训练的 SFT 数据集。</w:t>
      </w:r>
    </w:p>
    <w:p w14:paraId="11F4B1A5">
      <w:pPr>
        <w:pStyle w:val="10"/>
        <w:keepNext w:val="0"/>
        <w:keepLines w:val="0"/>
        <w:widowControl/>
        <w:suppressLineNumbers w:val="0"/>
        <w:ind w:firstLine="420" w:firstLineChars="0"/>
        <w:rPr>
          <w:rFonts w:hint="eastAsia" w:ascii="宋体" w:hAnsi="宋体" w:eastAsia="宋体" w:cs="宋体"/>
          <w:sz w:val="22"/>
          <w:szCs w:val="21"/>
        </w:rPr>
      </w:pPr>
      <w:r>
        <w:rPr>
          <w:rFonts w:hint="eastAsia" w:ascii="宋体" w:hAnsi="宋体" w:eastAsia="宋体" w:cs="宋体"/>
          <w:sz w:val="22"/>
          <w:szCs w:val="21"/>
        </w:rPr>
        <w:t>在模型训练阶段，本文基于 QLoRA 技术对 Qwen2-7B、LLaMA3-8B 和 GLM4-9B 三类开源大语言模型进行监督微调，并从验证损失、输出格式稳定性、文本质量和推理效率等维度进行比较。实验结果表明，三个模型均能够有效收敛并稳定输出结构化 JSON 结果，其中 LLaMA3-8B 在验证集损失和综合表现上最优，因此被选为后续超参数调优与消融实验的主模型。进一步地，本文采用 BOHB-style 候选搜索、NEFTune 正则化增强以及 Taguchi 正交实验，对 LoRA 参数、学习率、warmup ratio、训练资源和数据规模等因素进行系统分析。实验结果显示，数据规模对模型泛化能力影响最为显著，而调参策略和训练资源的效果具有一定条件依赖性。</w:t>
      </w:r>
    </w:p>
    <w:p w14:paraId="01D66DF3">
      <w:pPr>
        <w:pStyle w:val="10"/>
        <w:keepNext w:val="0"/>
        <w:keepLines w:val="0"/>
        <w:widowControl/>
        <w:suppressLineNumbers w:val="0"/>
        <w:ind w:firstLine="420" w:firstLineChars="0"/>
        <w:rPr>
          <w:rFonts w:hint="eastAsia" w:ascii="宋体" w:hAnsi="宋体" w:eastAsia="宋体" w:cs="宋体"/>
          <w:sz w:val="22"/>
          <w:szCs w:val="21"/>
        </w:rPr>
      </w:pPr>
      <w:r>
        <w:rPr>
          <w:rFonts w:hint="eastAsia" w:ascii="宋体" w:hAnsi="宋体" w:eastAsia="宋体" w:cs="宋体"/>
          <w:sz w:val="22"/>
          <w:szCs w:val="21"/>
        </w:rPr>
        <w:t>综上，本文构建了一个结合岗位数据采集、技能词典构建、人岗匹配、监督微调和超参数优化的统计类实习推荐系统。该系统不仅能够为统计学学生提供更具体的岗位推荐，还能够生成可解释的推荐理由、技能差距分析和背景提升建议，从而提高实习求职效率，并为大语言模型在垂直就业指导场景中的应用提供了实践参考。</w:t>
      </w:r>
    </w:p>
    <w:p w14:paraId="56A14BAD">
      <w:pPr>
        <w:pStyle w:val="10"/>
        <w:keepNext w:val="0"/>
        <w:keepLines w:val="0"/>
        <w:widowControl/>
        <w:suppressLineNumbers w:val="0"/>
        <w:rPr>
          <w:rFonts w:hint="eastAsia" w:ascii="宋体" w:hAnsi="宋体" w:eastAsia="宋体" w:cs="宋体"/>
          <w:b/>
          <w:bCs/>
          <w:sz w:val="44"/>
          <w:szCs w:val="44"/>
          <w:lang w:val="en-US" w:eastAsia="zh-CN"/>
        </w:rPr>
      </w:pPr>
      <w:r>
        <w:rPr>
          <w:rStyle w:val="14"/>
          <w:rFonts w:ascii="宋体" w:hAnsi="宋体" w:eastAsia="宋体" w:cs="宋体"/>
          <w:sz w:val="24"/>
          <w:szCs w:val="24"/>
        </w:rPr>
        <w:t>关键词：</w:t>
      </w:r>
      <w:r>
        <w:rPr>
          <w:rFonts w:ascii="宋体" w:hAnsi="宋体" w:eastAsia="宋体" w:cs="宋体"/>
          <w:sz w:val="24"/>
          <w:szCs w:val="24"/>
        </w:rPr>
        <w:t xml:space="preserve"> </w:t>
      </w:r>
      <w:r>
        <w:rPr>
          <w:rFonts w:ascii="宋体" w:hAnsi="宋体" w:eastAsia="宋体" w:cs="宋体"/>
          <w:sz w:val="24"/>
          <w:szCs w:val="24"/>
        </w:rPr>
        <w:t>大语言模型；监督微调；QLoRA；统计学实习；岗位推荐；技能差距分析；人岗匹配；超参数调优</w:t>
      </w:r>
    </w:p>
    <w:p w14:paraId="1EAE73B1">
      <w:pPr>
        <w:keepNext w:val="0"/>
        <w:keepLines w:val="0"/>
        <w:widowControl/>
        <w:suppressLineNumbers w:val="0"/>
        <w:jc w:val="both"/>
        <w:rPr>
          <w:rFonts w:hint="eastAsia" w:ascii="宋体" w:hAnsi="宋体" w:eastAsia="宋体" w:cs="宋体"/>
          <w:b/>
          <w:bCs/>
          <w:sz w:val="44"/>
          <w:szCs w:val="44"/>
          <w:lang w:val="en-US" w:eastAsia="zh-CN"/>
        </w:rPr>
      </w:pPr>
    </w:p>
    <w:p w14:paraId="4037995D">
      <w:pPr>
        <w:keepNext w:val="0"/>
        <w:keepLines w:val="0"/>
        <w:widowControl/>
        <w:suppressLineNumbers w:val="0"/>
        <w:jc w:val="both"/>
        <w:rPr>
          <w:rFonts w:hint="eastAsia" w:ascii="宋体" w:hAnsi="宋体" w:eastAsia="宋体" w:cs="宋体"/>
          <w:b/>
          <w:bCs/>
          <w:sz w:val="44"/>
          <w:szCs w:val="44"/>
          <w:lang w:val="en-US" w:eastAsia="zh-CN"/>
        </w:rPr>
      </w:pPr>
    </w:p>
    <w:sdt>
      <w:sdtPr>
        <w:rPr>
          <w:rFonts w:ascii="宋体" w:hAnsi="宋体" w:eastAsia="宋体" w:cstheme="minorBidi"/>
          <w:color w:val="000000"/>
          <w:sz w:val="21"/>
          <w:szCs w:val="22"/>
          <w:lang w:val="en-US" w:eastAsia="en-US" w:bidi="ar-SA"/>
        </w:rPr>
        <w:id w:val="147478593"/>
        <w15:color w:val="DBDBDB"/>
        <w:docPartObj>
          <w:docPartGallery w:val="Table of Contents"/>
          <w:docPartUnique/>
        </w:docPartObj>
      </w:sdtPr>
      <w:sdtEndPr>
        <w:rPr>
          <w:rFonts w:ascii="黑体" w:hAnsi="黑体" w:eastAsia="黑体" w:cstheme="minorBidi"/>
          <w:color w:val="000000"/>
          <w:sz w:val="21"/>
          <w:szCs w:val="22"/>
          <w:lang w:val="en-US" w:eastAsia="en-US" w:bidi="ar-SA"/>
        </w:rPr>
      </w:sdtEndPr>
      <w:sdtContent>
        <w:p w14:paraId="3384246B">
          <w:pPr>
            <w:spacing w:before="0" w:beforeLines="0" w:after="0" w:afterLines="0" w:line="240" w:lineRule="auto"/>
            <w:ind w:left="0" w:leftChars="0" w:right="0" w:rightChars="0" w:firstLine="0" w:firstLineChars="0"/>
            <w:jc w:val="center"/>
            <w:rPr>
              <w:rFonts w:ascii="宋体" w:hAnsi="宋体" w:eastAsia="宋体" w:cstheme="minorBidi"/>
              <w:color w:val="000000"/>
              <w:sz w:val="21"/>
              <w:szCs w:val="22"/>
              <w:lang w:val="en-US" w:eastAsia="en-US" w:bidi="ar-SA"/>
            </w:rPr>
          </w:pPr>
          <w:bookmarkStart w:id="0" w:name="_Toc12008"/>
        </w:p>
        <w:p w14:paraId="406C5F6C">
          <w:pPr>
            <w:spacing w:before="0" w:beforeLines="0" w:after="0" w:afterLines="0" w:line="240" w:lineRule="auto"/>
            <w:ind w:left="0" w:leftChars="0" w:right="0" w:rightChars="0" w:firstLine="0" w:firstLineChars="0"/>
            <w:jc w:val="center"/>
            <w:rPr>
              <w:rFonts w:hint="eastAsia" w:ascii="宋体" w:hAnsi="宋体" w:eastAsia="宋体" w:cs="宋体"/>
              <w:b/>
              <w:bCs/>
              <w:sz w:val="36"/>
              <w:szCs w:val="40"/>
            </w:rPr>
          </w:pPr>
          <w:r>
            <w:rPr>
              <w:rFonts w:hint="eastAsia" w:ascii="宋体" w:hAnsi="宋体" w:eastAsia="宋体" w:cs="宋体"/>
              <w:b/>
              <w:bCs/>
              <w:sz w:val="36"/>
              <w:szCs w:val="40"/>
            </w:rPr>
            <w:t>目录</w:t>
          </w:r>
        </w:p>
        <w:p w14:paraId="4D836274">
          <w:pPr>
            <w:pStyle w:val="8"/>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TOC \o "1-3" \h \u </w:instrText>
          </w:r>
          <w:r>
            <w:rPr>
              <w:rFonts w:hint="eastAsia" w:ascii="宋体" w:hAnsi="宋体" w:eastAsia="宋体" w:cs="宋体"/>
              <w:b/>
              <w:bCs/>
            </w:rPr>
            <w:fldChar w:fldCharType="separate"/>
          </w:r>
          <w:r>
            <w:rPr>
              <w:rFonts w:hint="eastAsia" w:ascii="宋体" w:hAnsi="宋体" w:eastAsia="宋体" w:cs="宋体"/>
              <w:b/>
              <w:bCs/>
            </w:rPr>
            <w:fldChar w:fldCharType="begin"/>
          </w:r>
          <w:r>
            <w:rPr>
              <w:rFonts w:hint="eastAsia" w:ascii="宋体" w:hAnsi="宋体" w:eastAsia="宋体" w:cs="宋体"/>
              <w:b/>
              <w:bCs/>
            </w:rPr>
            <w:instrText xml:space="preserve"> HYPERLINK \l _Toc26308 </w:instrText>
          </w:r>
          <w:r>
            <w:rPr>
              <w:rFonts w:hint="eastAsia" w:ascii="宋体" w:hAnsi="宋体" w:eastAsia="宋体" w:cs="宋体"/>
              <w:b/>
              <w:bCs/>
            </w:rPr>
            <w:fldChar w:fldCharType="separate"/>
          </w:r>
          <w:r>
            <w:rPr>
              <w:rFonts w:hint="eastAsia" w:ascii="宋体" w:hAnsi="宋体" w:eastAsia="宋体" w:cs="宋体"/>
              <w:b/>
              <w:bCs/>
              <w:lang w:val="en-US" w:eastAsia="zh-CN"/>
            </w:rPr>
            <w:t>(一) 背景和动机</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_Toc26308 \h </w:instrText>
          </w:r>
          <w:r>
            <w:rPr>
              <w:rFonts w:hint="eastAsia" w:ascii="宋体" w:hAnsi="宋体" w:eastAsia="宋体" w:cs="宋体"/>
              <w:b/>
              <w:bCs/>
            </w:rPr>
            <w:fldChar w:fldCharType="separate"/>
          </w:r>
          <w:r>
            <w:rPr>
              <w:rFonts w:hint="eastAsia" w:ascii="宋体" w:hAnsi="宋体" w:eastAsia="宋体" w:cs="宋体"/>
              <w:b/>
              <w:bCs/>
            </w:rPr>
            <w:t>3</w:t>
          </w:r>
          <w:r>
            <w:rPr>
              <w:rFonts w:hint="eastAsia" w:ascii="宋体" w:hAnsi="宋体" w:eastAsia="宋体" w:cs="宋体"/>
              <w:b/>
              <w:bCs/>
            </w:rPr>
            <w:fldChar w:fldCharType="end"/>
          </w:r>
          <w:r>
            <w:rPr>
              <w:rFonts w:hint="eastAsia" w:ascii="宋体" w:hAnsi="宋体" w:eastAsia="宋体" w:cs="宋体"/>
              <w:b/>
              <w:bCs/>
            </w:rPr>
            <w:fldChar w:fldCharType="end"/>
          </w:r>
        </w:p>
        <w:p w14:paraId="08D427C9">
          <w:pPr>
            <w:pStyle w:val="8"/>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_Toc8771 </w:instrText>
          </w:r>
          <w:r>
            <w:rPr>
              <w:rFonts w:hint="eastAsia" w:ascii="宋体" w:hAnsi="宋体" w:eastAsia="宋体" w:cs="宋体"/>
              <w:b/>
              <w:bCs/>
            </w:rPr>
            <w:fldChar w:fldCharType="separate"/>
          </w:r>
          <w:r>
            <w:rPr>
              <w:rFonts w:hint="eastAsia" w:ascii="宋体" w:hAnsi="宋体" w:eastAsia="宋体" w:cs="宋体"/>
              <w:b/>
              <w:bCs/>
              <w:lang w:val="en-US" w:eastAsia="zh-CN"/>
            </w:rPr>
            <w:t>(二)数据采集与清洗</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_Toc8771 \h </w:instrText>
          </w:r>
          <w:r>
            <w:rPr>
              <w:rFonts w:hint="eastAsia" w:ascii="宋体" w:hAnsi="宋体" w:eastAsia="宋体" w:cs="宋体"/>
              <w:b/>
              <w:bCs/>
            </w:rPr>
            <w:fldChar w:fldCharType="separate"/>
          </w:r>
          <w:r>
            <w:rPr>
              <w:rFonts w:hint="eastAsia" w:ascii="宋体" w:hAnsi="宋体" w:eastAsia="宋体" w:cs="宋体"/>
              <w:b/>
              <w:bCs/>
            </w:rPr>
            <w:t>3</w:t>
          </w:r>
          <w:r>
            <w:rPr>
              <w:rFonts w:hint="eastAsia" w:ascii="宋体" w:hAnsi="宋体" w:eastAsia="宋体" w:cs="宋体"/>
              <w:b/>
              <w:bCs/>
            </w:rPr>
            <w:fldChar w:fldCharType="end"/>
          </w:r>
          <w:r>
            <w:rPr>
              <w:rFonts w:hint="eastAsia" w:ascii="宋体" w:hAnsi="宋体" w:eastAsia="宋体" w:cs="宋体"/>
              <w:b/>
              <w:bCs/>
            </w:rPr>
            <w:fldChar w:fldCharType="end"/>
          </w:r>
        </w:p>
        <w:p w14:paraId="489CE730">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_Toc29729 </w:instrText>
          </w:r>
          <w:r>
            <w:rPr>
              <w:rFonts w:hint="eastAsia" w:ascii="宋体" w:hAnsi="宋体" w:eastAsia="宋体" w:cs="宋体"/>
              <w:b/>
              <w:bCs/>
            </w:rPr>
            <w:fldChar w:fldCharType="separate"/>
          </w:r>
          <w:r>
            <w:rPr>
              <w:rFonts w:hint="eastAsia" w:ascii="宋体" w:hAnsi="宋体" w:eastAsia="宋体" w:cs="宋体"/>
              <w:b/>
              <w:bCs/>
            </w:rPr>
            <w:t>一、数据采集</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_Toc29729 \h </w:instrText>
          </w:r>
          <w:r>
            <w:rPr>
              <w:rFonts w:hint="eastAsia" w:ascii="宋体" w:hAnsi="宋体" w:eastAsia="宋体" w:cs="宋体"/>
              <w:b/>
              <w:bCs/>
            </w:rPr>
            <w:fldChar w:fldCharType="separate"/>
          </w:r>
          <w:r>
            <w:rPr>
              <w:rFonts w:hint="eastAsia" w:ascii="宋体" w:hAnsi="宋体" w:eastAsia="宋体" w:cs="宋体"/>
              <w:b/>
              <w:bCs/>
            </w:rPr>
            <w:t>4</w:t>
          </w:r>
          <w:r>
            <w:rPr>
              <w:rFonts w:hint="eastAsia" w:ascii="宋体" w:hAnsi="宋体" w:eastAsia="宋体" w:cs="宋体"/>
              <w:b/>
              <w:bCs/>
            </w:rPr>
            <w:fldChar w:fldCharType="end"/>
          </w:r>
          <w:r>
            <w:rPr>
              <w:rFonts w:hint="eastAsia" w:ascii="宋体" w:hAnsi="宋体" w:eastAsia="宋体" w:cs="宋体"/>
              <w:b/>
              <w:bCs/>
            </w:rPr>
            <w:fldChar w:fldCharType="end"/>
          </w:r>
        </w:p>
        <w:p w14:paraId="49DC85C7">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_Toc17079 </w:instrText>
          </w:r>
          <w:r>
            <w:rPr>
              <w:rFonts w:hint="eastAsia" w:ascii="宋体" w:hAnsi="宋体" w:eastAsia="宋体" w:cs="宋体"/>
              <w:b/>
              <w:bCs/>
            </w:rPr>
            <w:fldChar w:fldCharType="separate"/>
          </w:r>
          <w:r>
            <w:rPr>
              <w:rFonts w:hint="eastAsia" w:ascii="宋体" w:hAnsi="宋体" w:eastAsia="宋体" w:cs="宋体"/>
              <w:b/>
              <w:bCs/>
            </w:rPr>
            <w:t>二、数据清洗与字段标准化</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_Toc17079 \h </w:instrText>
          </w:r>
          <w:r>
            <w:rPr>
              <w:rFonts w:hint="eastAsia" w:ascii="宋体" w:hAnsi="宋体" w:eastAsia="宋体" w:cs="宋体"/>
              <w:b/>
              <w:bCs/>
            </w:rPr>
            <w:fldChar w:fldCharType="separate"/>
          </w:r>
          <w:r>
            <w:rPr>
              <w:rFonts w:hint="eastAsia" w:ascii="宋体" w:hAnsi="宋体" w:eastAsia="宋体" w:cs="宋体"/>
              <w:b/>
              <w:bCs/>
            </w:rPr>
            <w:t>5</w:t>
          </w:r>
          <w:r>
            <w:rPr>
              <w:rFonts w:hint="eastAsia" w:ascii="宋体" w:hAnsi="宋体" w:eastAsia="宋体" w:cs="宋体"/>
              <w:b/>
              <w:bCs/>
            </w:rPr>
            <w:fldChar w:fldCharType="end"/>
          </w:r>
          <w:r>
            <w:rPr>
              <w:rFonts w:hint="eastAsia" w:ascii="宋体" w:hAnsi="宋体" w:eastAsia="宋体" w:cs="宋体"/>
              <w:b/>
              <w:bCs/>
            </w:rPr>
            <w:fldChar w:fldCharType="end"/>
          </w:r>
        </w:p>
        <w:p w14:paraId="6092355F">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_Toc27332 </w:instrText>
          </w:r>
          <w:r>
            <w:rPr>
              <w:rFonts w:hint="eastAsia" w:ascii="宋体" w:hAnsi="宋体" w:eastAsia="宋体" w:cs="宋体"/>
              <w:b/>
              <w:bCs/>
            </w:rPr>
            <w:fldChar w:fldCharType="separate"/>
          </w:r>
          <w:r>
            <w:rPr>
              <w:rFonts w:hint="eastAsia" w:ascii="宋体" w:hAnsi="宋体" w:eastAsia="宋体" w:cs="宋体"/>
              <w:b/>
              <w:bCs/>
            </w:rPr>
            <w:t>三、岗位方向标注</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_Toc27332 \h </w:instrText>
          </w:r>
          <w:r>
            <w:rPr>
              <w:rFonts w:hint="eastAsia" w:ascii="宋体" w:hAnsi="宋体" w:eastAsia="宋体" w:cs="宋体"/>
              <w:b/>
              <w:bCs/>
            </w:rPr>
            <w:fldChar w:fldCharType="separate"/>
          </w:r>
          <w:r>
            <w:rPr>
              <w:rFonts w:hint="eastAsia" w:ascii="宋体" w:hAnsi="宋体" w:eastAsia="宋体" w:cs="宋体"/>
              <w:b/>
              <w:bCs/>
            </w:rPr>
            <w:t>6</w:t>
          </w:r>
          <w:r>
            <w:rPr>
              <w:rFonts w:hint="eastAsia" w:ascii="宋体" w:hAnsi="宋体" w:eastAsia="宋体" w:cs="宋体"/>
              <w:b/>
              <w:bCs/>
            </w:rPr>
            <w:fldChar w:fldCharType="end"/>
          </w:r>
          <w:r>
            <w:rPr>
              <w:rFonts w:hint="eastAsia" w:ascii="宋体" w:hAnsi="宋体" w:eastAsia="宋体" w:cs="宋体"/>
              <w:b/>
              <w:bCs/>
            </w:rPr>
            <w:fldChar w:fldCharType="end"/>
          </w:r>
        </w:p>
        <w:p w14:paraId="3CF713AA">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_Toc3188 </w:instrText>
          </w:r>
          <w:r>
            <w:rPr>
              <w:rFonts w:hint="eastAsia" w:ascii="宋体" w:hAnsi="宋体" w:eastAsia="宋体" w:cs="宋体"/>
              <w:b/>
              <w:bCs/>
            </w:rPr>
            <w:fldChar w:fldCharType="separate"/>
          </w:r>
          <w:r>
            <w:rPr>
              <w:rFonts w:hint="eastAsia" w:ascii="宋体" w:hAnsi="宋体" w:eastAsia="宋体" w:cs="宋体"/>
              <w:b/>
              <w:bCs/>
            </w:rPr>
            <w:t>四、技能词典构建</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_Toc3188 \h </w:instrText>
          </w:r>
          <w:r>
            <w:rPr>
              <w:rFonts w:hint="eastAsia" w:ascii="宋体" w:hAnsi="宋体" w:eastAsia="宋体" w:cs="宋体"/>
              <w:b/>
              <w:bCs/>
            </w:rPr>
            <w:fldChar w:fldCharType="separate"/>
          </w:r>
          <w:r>
            <w:rPr>
              <w:rFonts w:hint="eastAsia" w:ascii="宋体" w:hAnsi="宋体" w:eastAsia="宋体" w:cs="宋体"/>
              <w:b/>
              <w:bCs/>
            </w:rPr>
            <w:t>7</w:t>
          </w:r>
          <w:r>
            <w:rPr>
              <w:rFonts w:hint="eastAsia" w:ascii="宋体" w:hAnsi="宋体" w:eastAsia="宋体" w:cs="宋体"/>
              <w:b/>
              <w:bCs/>
            </w:rPr>
            <w:fldChar w:fldCharType="end"/>
          </w:r>
          <w:r>
            <w:rPr>
              <w:rFonts w:hint="eastAsia" w:ascii="宋体" w:hAnsi="宋体" w:eastAsia="宋体" w:cs="宋体"/>
              <w:b/>
              <w:bCs/>
            </w:rPr>
            <w:fldChar w:fldCharType="end"/>
          </w:r>
        </w:p>
        <w:p w14:paraId="3FBB288A">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_Toc22911 </w:instrText>
          </w:r>
          <w:r>
            <w:rPr>
              <w:rFonts w:hint="eastAsia" w:ascii="宋体" w:hAnsi="宋体" w:eastAsia="宋体" w:cs="宋体"/>
              <w:b/>
              <w:bCs/>
            </w:rPr>
            <w:fldChar w:fldCharType="separate"/>
          </w:r>
          <w:r>
            <w:rPr>
              <w:rFonts w:hint="eastAsia" w:ascii="宋体" w:hAnsi="宋体" w:eastAsia="宋体" w:cs="宋体"/>
              <w:b/>
              <w:bCs/>
            </w:rPr>
            <w:t>五、数据集画像与质量核查</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_Toc22911 \h </w:instrText>
          </w:r>
          <w:r>
            <w:rPr>
              <w:rFonts w:hint="eastAsia" w:ascii="宋体" w:hAnsi="宋体" w:eastAsia="宋体" w:cs="宋体"/>
              <w:b/>
              <w:bCs/>
            </w:rPr>
            <w:fldChar w:fldCharType="separate"/>
          </w:r>
          <w:r>
            <w:rPr>
              <w:rFonts w:hint="eastAsia" w:ascii="宋体" w:hAnsi="宋体" w:eastAsia="宋体" w:cs="宋体"/>
              <w:b/>
              <w:bCs/>
            </w:rPr>
            <w:t>8</w:t>
          </w:r>
          <w:r>
            <w:rPr>
              <w:rFonts w:hint="eastAsia" w:ascii="宋体" w:hAnsi="宋体" w:eastAsia="宋体" w:cs="宋体"/>
              <w:b/>
              <w:bCs/>
            </w:rPr>
            <w:fldChar w:fldCharType="end"/>
          </w:r>
          <w:r>
            <w:rPr>
              <w:rFonts w:hint="eastAsia" w:ascii="宋体" w:hAnsi="宋体" w:eastAsia="宋体" w:cs="宋体"/>
              <w:b/>
              <w:bCs/>
            </w:rPr>
            <w:fldChar w:fldCharType="end"/>
          </w:r>
        </w:p>
        <w:p w14:paraId="51400135">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_Toc28153 </w:instrText>
          </w:r>
          <w:r>
            <w:rPr>
              <w:rFonts w:hint="eastAsia" w:ascii="宋体" w:hAnsi="宋体" w:eastAsia="宋体" w:cs="宋体"/>
              <w:b/>
              <w:bCs/>
            </w:rPr>
            <w:fldChar w:fldCharType="separate"/>
          </w:r>
          <w:r>
            <w:rPr>
              <w:rFonts w:hint="eastAsia" w:ascii="宋体" w:hAnsi="宋体" w:eastAsia="宋体" w:cs="宋体"/>
              <w:b/>
              <w:bCs/>
            </w:rPr>
            <w:t>六、与下游模块的衔接</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_Toc28153 \h </w:instrText>
          </w:r>
          <w:r>
            <w:rPr>
              <w:rFonts w:hint="eastAsia" w:ascii="宋体" w:hAnsi="宋体" w:eastAsia="宋体" w:cs="宋体"/>
              <w:b/>
              <w:bCs/>
            </w:rPr>
            <w:fldChar w:fldCharType="separate"/>
          </w:r>
          <w:r>
            <w:rPr>
              <w:rFonts w:hint="eastAsia" w:ascii="宋体" w:hAnsi="宋体" w:eastAsia="宋体" w:cs="宋体"/>
              <w:b/>
              <w:bCs/>
            </w:rPr>
            <w:t>9</w:t>
          </w:r>
          <w:r>
            <w:rPr>
              <w:rFonts w:hint="eastAsia" w:ascii="宋体" w:hAnsi="宋体" w:eastAsia="宋体" w:cs="宋体"/>
              <w:b/>
              <w:bCs/>
            </w:rPr>
            <w:fldChar w:fldCharType="end"/>
          </w:r>
          <w:r>
            <w:rPr>
              <w:rFonts w:hint="eastAsia" w:ascii="宋体" w:hAnsi="宋体" w:eastAsia="宋体" w:cs="宋体"/>
              <w:b/>
              <w:bCs/>
            </w:rPr>
            <w:fldChar w:fldCharType="end"/>
          </w:r>
        </w:p>
        <w:p w14:paraId="14493CDA">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_Toc18406 </w:instrText>
          </w:r>
          <w:r>
            <w:rPr>
              <w:rFonts w:hint="eastAsia" w:ascii="宋体" w:hAnsi="宋体" w:eastAsia="宋体" w:cs="宋体"/>
              <w:b/>
              <w:bCs/>
            </w:rPr>
            <w:fldChar w:fldCharType="separate"/>
          </w:r>
          <w:r>
            <w:rPr>
              <w:rFonts w:hint="eastAsia" w:ascii="宋体" w:hAnsi="宋体" w:eastAsia="宋体" w:cs="宋体"/>
              <w:b/>
              <w:bCs/>
            </w:rPr>
            <w:t>七、主要产出与贡献声明</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_Toc18406 \h </w:instrText>
          </w:r>
          <w:r>
            <w:rPr>
              <w:rFonts w:hint="eastAsia" w:ascii="宋体" w:hAnsi="宋体" w:eastAsia="宋体" w:cs="宋体"/>
              <w:b/>
              <w:bCs/>
            </w:rPr>
            <w:fldChar w:fldCharType="separate"/>
          </w:r>
          <w:r>
            <w:rPr>
              <w:rFonts w:hint="eastAsia" w:ascii="宋体" w:hAnsi="宋体" w:eastAsia="宋体" w:cs="宋体"/>
              <w:b/>
              <w:bCs/>
            </w:rPr>
            <w:t>10</w:t>
          </w:r>
          <w:r>
            <w:rPr>
              <w:rFonts w:hint="eastAsia" w:ascii="宋体" w:hAnsi="宋体" w:eastAsia="宋体" w:cs="宋体"/>
              <w:b/>
              <w:bCs/>
            </w:rPr>
            <w:fldChar w:fldCharType="end"/>
          </w:r>
          <w:r>
            <w:rPr>
              <w:rFonts w:hint="eastAsia" w:ascii="宋体" w:hAnsi="宋体" w:eastAsia="宋体" w:cs="宋体"/>
              <w:b/>
              <w:bCs/>
            </w:rPr>
            <w:fldChar w:fldCharType="end"/>
          </w:r>
        </w:p>
        <w:p w14:paraId="4A836673">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_Toc5506 </w:instrText>
          </w:r>
          <w:r>
            <w:rPr>
              <w:rFonts w:hint="eastAsia" w:ascii="宋体" w:hAnsi="宋体" w:eastAsia="宋体" w:cs="宋体"/>
              <w:b/>
              <w:bCs/>
            </w:rPr>
            <w:fldChar w:fldCharType="separate"/>
          </w:r>
          <w:r>
            <w:rPr>
              <w:rFonts w:hint="eastAsia" w:ascii="宋体" w:hAnsi="宋体" w:eastAsia="宋体" w:cs="宋体"/>
              <w:b/>
              <w:bCs/>
            </w:rPr>
            <w:t>八、遇到的问题与后续改进</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_Toc5506 \h </w:instrText>
          </w:r>
          <w:r>
            <w:rPr>
              <w:rFonts w:hint="eastAsia" w:ascii="宋体" w:hAnsi="宋体" w:eastAsia="宋体" w:cs="宋体"/>
              <w:b/>
              <w:bCs/>
            </w:rPr>
            <w:fldChar w:fldCharType="separate"/>
          </w:r>
          <w:r>
            <w:rPr>
              <w:rFonts w:hint="eastAsia" w:ascii="宋体" w:hAnsi="宋体" w:eastAsia="宋体" w:cs="宋体"/>
              <w:b/>
              <w:bCs/>
            </w:rPr>
            <w:t>10</w:t>
          </w:r>
          <w:r>
            <w:rPr>
              <w:rFonts w:hint="eastAsia" w:ascii="宋体" w:hAnsi="宋体" w:eastAsia="宋体" w:cs="宋体"/>
              <w:b/>
              <w:bCs/>
            </w:rPr>
            <w:fldChar w:fldCharType="end"/>
          </w:r>
          <w:r>
            <w:rPr>
              <w:rFonts w:hint="eastAsia" w:ascii="宋体" w:hAnsi="宋体" w:eastAsia="宋体" w:cs="宋体"/>
              <w:b/>
              <w:bCs/>
            </w:rPr>
            <w:fldChar w:fldCharType="end"/>
          </w:r>
        </w:p>
        <w:p w14:paraId="1BCF7B8C">
          <w:pPr>
            <w:pStyle w:val="8"/>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_Toc30262 </w:instrText>
          </w:r>
          <w:r>
            <w:rPr>
              <w:rFonts w:hint="eastAsia" w:ascii="宋体" w:hAnsi="宋体" w:eastAsia="宋体" w:cs="宋体"/>
              <w:b/>
              <w:bCs/>
            </w:rPr>
            <w:fldChar w:fldCharType="separate"/>
          </w:r>
          <w:r>
            <w:rPr>
              <w:rFonts w:hint="eastAsia" w:ascii="宋体" w:hAnsi="宋体" w:eastAsia="宋体" w:cs="宋体"/>
              <w:b/>
              <w:bCs/>
              <w:lang w:val="en-US" w:eastAsia="zh-CN"/>
            </w:rPr>
            <w:t>(三)</w:t>
          </w:r>
          <w:r>
            <w:rPr>
              <w:rFonts w:hint="eastAsia" w:ascii="宋体" w:hAnsi="宋体" w:eastAsia="宋体" w:cs="宋体"/>
              <w:b/>
              <w:bCs/>
            </w:rPr>
            <w:t>大模型微调与对比</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_Toc30262 \h </w:instrText>
          </w:r>
          <w:r>
            <w:rPr>
              <w:rFonts w:hint="eastAsia" w:ascii="宋体" w:hAnsi="宋体" w:eastAsia="宋体" w:cs="宋体"/>
              <w:b/>
              <w:bCs/>
            </w:rPr>
            <w:fldChar w:fldCharType="separate"/>
          </w:r>
          <w:r>
            <w:rPr>
              <w:rFonts w:hint="eastAsia" w:ascii="宋体" w:hAnsi="宋体" w:eastAsia="宋体" w:cs="宋体"/>
              <w:b/>
              <w:bCs/>
            </w:rPr>
            <w:t>10</w:t>
          </w:r>
          <w:r>
            <w:rPr>
              <w:rFonts w:hint="eastAsia" w:ascii="宋体" w:hAnsi="宋体" w:eastAsia="宋体" w:cs="宋体"/>
              <w:b/>
              <w:bCs/>
            </w:rPr>
            <w:fldChar w:fldCharType="end"/>
          </w:r>
          <w:r>
            <w:rPr>
              <w:rFonts w:hint="eastAsia" w:ascii="宋体" w:hAnsi="宋体" w:eastAsia="宋体" w:cs="宋体"/>
              <w:b/>
              <w:bCs/>
            </w:rPr>
            <w:fldChar w:fldCharType="end"/>
          </w:r>
        </w:p>
        <w:p w14:paraId="399DEEC7">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_Toc9333 </w:instrText>
          </w:r>
          <w:r>
            <w:rPr>
              <w:rFonts w:hint="eastAsia" w:ascii="宋体" w:hAnsi="宋体" w:eastAsia="宋体" w:cs="宋体"/>
              <w:b/>
              <w:bCs/>
            </w:rPr>
            <w:fldChar w:fldCharType="separate"/>
          </w:r>
          <w:r>
            <w:rPr>
              <w:rFonts w:hint="eastAsia" w:ascii="宋体" w:hAnsi="宋体" w:eastAsia="宋体" w:cs="宋体"/>
              <w:b/>
              <w:bCs/>
            </w:rPr>
            <w:t>一、 训练目标与核心技术路线</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_Toc9333 \h </w:instrText>
          </w:r>
          <w:r>
            <w:rPr>
              <w:rFonts w:hint="eastAsia" w:ascii="宋体" w:hAnsi="宋体" w:eastAsia="宋体" w:cs="宋体"/>
              <w:b/>
              <w:bCs/>
            </w:rPr>
            <w:fldChar w:fldCharType="separate"/>
          </w:r>
          <w:r>
            <w:rPr>
              <w:rFonts w:hint="eastAsia" w:ascii="宋体" w:hAnsi="宋体" w:eastAsia="宋体" w:cs="宋体"/>
              <w:b/>
              <w:bCs/>
            </w:rPr>
            <w:t>10</w:t>
          </w:r>
          <w:r>
            <w:rPr>
              <w:rFonts w:hint="eastAsia" w:ascii="宋体" w:hAnsi="宋体" w:eastAsia="宋体" w:cs="宋体"/>
              <w:b/>
              <w:bCs/>
            </w:rPr>
            <w:fldChar w:fldCharType="end"/>
          </w:r>
          <w:r>
            <w:rPr>
              <w:rFonts w:hint="eastAsia" w:ascii="宋体" w:hAnsi="宋体" w:eastAsia="宋体" w:cs="宋体"/>
              <w:b/>
              <w:bCs/>
            </w:rPr>
            <w:fldChar w:fldCharType="end"/>
          </w:r>
        </w:p>
        <w:p w14:paraId="55444DDC">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_Toc25042 </w:instrText>
          </w:r>
          <w:r>
            <w:rPr>
              <w:rFonts w:hint="eastAsia" w:ascii="宋体" w:hAnsi="宋体" w:eastAsia="宋体" w:cs="宋体"/>
              <w:b/>
              <w:bCs/>
            </w:rPr>
            <w:fldChar w:fldCharType="separate"/>
          </w:r>
          <w:r>
            <w:rPr>
              <w:rFonts w:hint="eastAsia" w:ascii="宋体" w:hAnsi="宋体" w:eastAsia="宋体" w:cs="宋体"/>
              <w:b/>
              <w:bCs/>
            </w:rPr>
            <w:t>二、 核心数据集清洗、特征挖掘与 SFT 训练数据制作</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_Toc25042 \h </w:instrText>
          </w:r>
          <w:r>
            <w:rPr>
              <w:rFonts w:hint="eastAsia" w:ascii="宋体" w:hAnsi="宋体" w:eastAsia="宋体" w:cs="宋体"/>
              <w:b/>
              <w:bCs/>
            </w:rPr>
            <w:fldChar w:fldCharType="separate"/>
          </w:r>
          <w:r>
            <w:rPr>
              <w:rFonts w:hint="eastAsia" w:ascii="宋体" w:hAnsi="宋体" w:eastAsia="宋体" w:cs="宋体"/>
              <w:b/>
              <w:bCs/>
            </w:rPr>
            <w:t>11</w:t>
          </w:r>
          <w:r>
            <w:rPr>
              <w:rFonts w:hint="eastAsia" w:ascii="宋体" w:hAnsi="宋体" w:eastAsia="宋体" w:cs="宋体"/>
              <w:b/>
              <w:bCs/>
            </w:rPr>
            <w:fldChar w:fldCharType="end"/>
          </w:r>
          <w:r>
            <w:rPr>
              <w:rFonts w:hint="eastAsia" w:ascii="宋体" w:hAnsi="宋体" w:eastAsia="宋体" w:cs="宋体"/>
              <w:b/>
              <w:bCs/>
            </w:rPr>
            <w:fldChar w:fldCharType="end"/>
          </w:r>
        </w:p>
        <w:p w14:paraId="6DE0E075">
          <w:pPr>
            <w:pStyle w:val="7"/>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_Toc26076 </w:instrText>
          </w:r>
          <w:r>
            <w:rPr>
              <w:rFonts w:hint="eastAsia" w:ascii="宋体" w:hAnsi="宋体" w:eastAsia="宋体" w:cs="宋体"/>
              <w:b/>
              <w:bCs/>
            </w:rPr>
            <w:fldChar w:fldCharType="separate"/>
          </w:r>
          <w:r>
            <w:rPr>
              <w:rFonts w:hint="eastAsia" w:ascii="宋体" w:hAnsi="宋体" w:eastAsia="宋体" w:cs="宋体"/>
              <w:b/>
              <w:bCs/>
              <w:lang w:val="en-US" w:eastAsia="zh-CN"/>
            </w:rPr>
            <w:t>(1)</w:t>
          </w:r>
          <w:r>
            <w:rPr>
              <w:rFonts w:hint="eastAsia" w:ascii="宋体" w:hAnsi="宋体" w:eastAsia="宋体" w:cs="宋体"/>
              <w:b/>
              <w:bCs/>
            </w:rPr>
            <w:t>原始岗位数据清洗与特征库构建</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_Toc26076 \h </w:instrText>
          </w:r>
          <w:r>
            <w:rPr>
              <w:rFonts w:hint="eastAsia" w:ascii="宋体" w:hAnsi="宋体" w:eastAsia="宋体" w:cs="宋体"/>
              <w:b/>
              <w:bCs/>
            </w:rPr>
            <w:fldChar w:fldCharType="separate"/>
          </w:r>
          <w:r>
            <w:rPr>
              <w:rFonts w:hint="eastAsia" w:ascii="宋体" w:hAnsi="宋体" w:eastAsia="宋体" w:cs="宋体"/>
              <w:b/>
              <w:bCs/>
            </w:rPr>
            <w:t>11</w:t>
          </w:r>
          <w:r>
            <w:rPr>
              <w:rFonts w:hint="eastAsia" w:ascii="宋体" w:hAnsi="宋体" w:eastAsia="宋体" w:cs="宋体"/>
              <w:b/>
              <w:bCs/>
            </w:rPr>
            <w:fldChar w:fldCharType="end"/>
          </w:r>
          <w:r>
            <w:rPr>
              <w:rFonts w:hint="eastAsia" w:ascii="宋体" w:hAnsi="宋体" w:eastAsia="宋体" w:cs="宋体"/>
              <w:b/>
              <w:bCs/>
            </w:rPr>
            <w:fldChar w:fldCharType="end"/>
          </w:r>
        </w:p>
        <w:p w14:paraId="23163BA7">
          <w:pPr>
            <w:pStyle w:val="7"/>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_Toc10251 </w:instrText>
          </w:r>
          <w:r>
            <w:rPr>
              <w:rFonts w:hint="eastAsia" w:ascii="宋体" w:hAnsi="宋体" w:eastAsia="宋体" w:cs="宋体"/>
              <w:b/>
              <w:bCs/>
            </w:rPr>
            <w:fldChar w:fldCharType="separate"/>
          </w:r>
          <w:r>
            <w:rPr>
              <w:rFonts w:hint="eastAsia" w:ascii="宋体" w:hAnsi="宋体" w:eastAsia="宋体" w:cs="宋体"/>
              <w:b/>
              <w:bCs/>
              <w:lang w:val="en-US" w:eastAsia="zh-CN"/>
            </w:rPr>
            <w:t>(2)</w:t>
          </w:r>
          <w:r>
            <w:rPr>
              <w:rFonts w:hint="eastAsia" w:ascii="宋体" w:hAnsi="宋体" w:eastAsia="宋体" w:cs="宋体"/>
              <w:b/>
              <w:bCs/>
            </w:rPr>
            <w:t>标签驱动的多样化虚拟求职者画像合成</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_Toc10251 \h </w:instrText>
          </w:r>
          <w:r>
            <w:rPr>
              <w:rFonts w:hint="eastAsia" w:ascii="宋体" w:hAnsi="宋体" w:eastAsia="宋体" w:cs="宋体"/>
              <w:b/>
              <w:bCs/>
            </w:rPr>
            <w:fldChar w:fldCharType="separate"/>
          </w:r>
          <w:r>
            <w:rPr>
              <w:rFonts w:hint="eastAsia" w:ascii="宋体" w:hAnsi="宋体" w:eastAsia="宋体" w:cs="宋体"/>
              <w:b/>
              <w:bCs/>
            </w:rPr>
            <w:t>11</w:t>
          </w:r>
          <w:r>
            <w:rPr>
              <w:rFonts w:hint="eastAsia" w:ascii="宋体" w:hAnsi="宋体" w:eastAsia="宋体" w:cs="宋体"/>
              <w:b/>
              <w:bCs/>
            </w:rPr>
            <w:fldChar w:fldCharType="end"/>
          </w:r>
          <w:r>
            <w:rPr>
              <w:rFonts w:hint="eastAsia" w:ascii="宋体" w:hAnsi="宋体" w:eastAsia="宋体" w:cs="宋体"/>
              <w:b/>
              <w:bCs/>
            </w:rPr>
            <w:fldChar w:fldCharType="end"/>
          </w:r>
        </w:p>
        <w:p w14:paraId="1CE3A092">
          <w:pPr>
            <w:pStyle w:val="7"/>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_Toc11912 </w:instrText>
          </w:r>
          <w:r>
            <w:rPr>
              <w:rFonts w:hint="eastAsia" w:ascii="宋体" w:hAnsi="宋体" w:eastAsia="宋体" w:cs="宋体"/>
              <w:b/>
              <w:bCs/>
            </w:rPr>
            <w:fldChar w:fldCharType="separate"/>
          </w:r>
          <w:r>
            <w:rPr>
              <w:rFonts w:hint="eastAsia" w:ascii="宋体" w:hAnsi="宋体" w:eastAsia="宋体" w:cs="宋体"/>
              <w:b/>
              <w:bCs/>
              <w:lang w:val="en-US" w:eastAsia="zh-CN"/>
            </w:rPr>
            <w:t>(3)</w:t>
          </w:r>
          <w:r>
            <w:rPr>
              <w:rFonts w:hint="eastAsia" w:ascii="宋体" w:hAnsi="宋体" w:eastAsia="宋体" w:cs="宋体"/>
              <w:b/>
              <w:bCs/>
            </w:rPr>
            <w:t>推荐算法联动与 Top-3 岗位智能筛选</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_Toc11912 \h </w:instrText>
          </w:r>
          <w:r>
            <w:rPr>
              <w:rFonts w:hint="eastAsia" w:ascii="宋体" w:hAnsi="宋体" w:eastAsia="宋体" w:cs="宋体"/>
              <w:b/>
              <w:bCs/>
            </w:rPr>
            <w:fldChar w:fldCharType="separate"/>
          </w:r>
          <w:r>
            <w:rPr>
              <w:rFonts w:hint="eastAsia" w:ascii="宋体" w:hAnsi="宋体" w:eastAsia="宋体" w:cs="宋体"/>
              <w:b/>
              <w:bCs/>
            </w:rPr>
            <w:t>12</w:t>
          </w:r>
          <w:r>
            <w:rPr>
              <w:rFonts w:hint="eastAsia" w:ascii="宋体" w:hAnsi="宋体" w:eastAsia="宋体" w:cs="宋体"/>
              <w:b/>
              <w:bCs/>
            </w:rPr>
            <w:fldChar w:fldCharType="end"/>
          </w:r>
          <w:r>
            <w:rPr>
              <w:rFonts w:hint="eastAsia" w:ascii="宋体" w:hAnsi="宋体" w:eastAsia="宋体" w:cs="宋体"/>
              <w:b/>
              <w:bCs/>
            </w:rPr>
            <w:fldChar w:fldCharType="end"/>
          </w:r>
        </w:p>
        <w:p w14:paraId="34DE24C8">
          <w:pPr>
            <w:pStyle w:val="7"/>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_Toc19494 </w:instrText>
          </w:r>
          <w:r>
            <w:rPr>
              <w:rFonts w:hint="eastAsia" w:ascii="宋体" w:hAnsi="宋体" w:eastAsia="宋体" w:cs="宋体"/>
              <w:b/>
              <w:bCs/>
            </w:rPr>
            <w:fldChar w:fldCharType="separate"/>
          </w:r>
          <w:r>
            <w:rPr>
              <w:rFonts w:hint="eastAsia" w:ascii="宋体" w:hAnsi="宋体" w:eastAsia="宋体" w:cs="宋体"/>
              <w:b/>
              <w:bCs/>
              <w:lang w:val="en-US" w:eastAsia="zh-CN"/>
            </w:rPr>
            <w:t>(4)</w:t>
          </w:r>
          <w:r>
            <w:rPr>
              <w:rFonts w:hint="eastAsia" w:ascii="宋体" w:hAnsi="宋体" w:eastAsia="宋体" w:cs="宋体"/>
              <w:b/>
              <w:bCs/>
            </w:rPr>
            <w:t>大模型专家知识蒸馏与 SFT 格式导出</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_Toc19494 \h </w:instrText>
          </w:r>
          <w:r>
            <w:rPr>
              <w:rFonts w:hint="eastAsia" w:ascii="宋体" w:hAnsi="宋体" w:eastAsia="宋体" w:cs="宋体"/>
              <w:b/>
              <w:bCs/>
            </w:rPr>
            <w:fldChar w:fldCharType="separate"/>
          </w:r>
          <w:r>
            <w:rPr>
              <w:rFonts w:hint="eastAsia" w:ascii="宋体" w:hAnsi="宋体" w:eastAsia="宋体" w:cs="宋体"/>
              <w:b/>
              <w:bCs/>
            </w:rPr>
            <w:t>12</w:t>
          </w:r>
          <w:r>
            <w:rPr>
              <w:rFonts w:hint="eastAsia" w:ascii="宋体" w:hAnsi="宋体" w:eastAsia="宋体" w:cs="宋体"/>
              <w:b/>
              <w:bCs/>
            </w:rPr>
            <w:fldChar w:fldCharType="end"/>
          </w:r>
          <w:r>
            <w:rPr>
              <w:rFonts w:hint="eastAsia" w:ascii="宋体" w:hAnsi="宋体" w:eastAsia="宋体" w:cs="宋体"/>
              <w:b/>
              <w:bCs/>
            </w:rPr>
            <w:fldChar w:fldCharType="end"/>
          </w:r>
        </w:p>
        <w:p w14:paraId="21851195">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_Toc22391 </w:instrText>
          </w:r>
          <w:r>
            <w:rPr>
              <w:rFonts w:hint="eastAsia" w:ascii="宋体" w:hAnsi="宋体" w:eastAsia="宋体" w:cs="宋体"/>
              <w:b/>
              <w:bCs/>
            </w:rPr>
            <w:fldChar w:fldCharType="separate"/>
          </w:r>
          <w:r>
            <w:rPr>
              <w:rFonts w:hint="eastAsia" w:ascii="宋体" w:hAnsi="宋体" w:eastAsia="宋体" w:cs="宋体"/>
              <w:b/>
              <w:bCs/>
            </w:rPr>
            <w:t>三</w:t>
          </w:r>
          <w:r>
            <w:rPr>
              <w:rFonts w:hint="eastAsia" w:ascii="宋体" w:hAnsi="宋体" w:eastAsia="宋体" w:cs="宋体"/>
              <w:b/>
              <w:bCs/>
              <w:lang w:eastAsia="zh-CN"/>
            </w:rPr>
            <w:t>、</w:t>
          </w:r>
          <w:r>
            <w:rPr>
              <w:rFonts w:hint="eastAsia" w:ascii="宋体" w:hAnsi="宋体" w:eastAsia="宋体" w:cs="宋体"/>
              <w:b/>
              <w:bCs/>
            </w:rPr>
            <w:t>数据集划分与实验基准设定</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_Toc22391 \h </w:instrText>
          </w:r>
          <w:r>
            <w:rPr>
              <w:rFonts w:hint="eastAsia" w:ascii="宋体" w:hAnsi="宋体" w:eastAsia="宋体" w:cs="宋体"/>
              <w:b/>
              <w:bCs/>
            </w:rPr>
            <w:fldChar w:fldCharType="separate"/>
          </w:r>
          <w:r>
            <w:rPr>
              <w:rFonts w:hint="eastAsia" w:ascii="宋体" w:hAnsi="宋体" w:eastAsia="宋体" w:cs="宋体"/>
              <w:b/>
              <w:bCs/>
            </w:rPr>
            <w:t>12</w:t>
          </w:r>
          <w:r>
            <w:rPr>
              <w:rFonts w:hint="eastAsia" w:ascii="宋体" w:hAnsi="宋体" w:eastAsia="宋体" w:cs="宋体"/>
              <w:b/>
              <w:bCs/>
            </w:rPr>
            <w:fldChar w:fldCharType="end"/>
          </w:r>
          <w:r>
            <w:rPr>
              <w:rFonts w:hint="eastAsia" w:ascii="宋体" w:hAnsi="宋体" w:eastAsia="宋体" w:cs="宋体"/>
              <w:b/>
              <w:bCs/>
            </w:rPr>
            <w:fldChar w:fldCharType="end"/>
          </w:r>
        </w:p>
        <w:p w14:paraId="7199193C">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_Toc25268 </w:instrText>
          </w:r>
          <w:r>
            <w:rPr>
              <w:rFonts w:hint="eastAsia" w:ascii="宋体" w:hAnsi="宋体" w:eastAsia="宋体" w:cs="宋体"/>
              <w:b/>
              <w:bCs/>
            </w:rPr>
            <w:fldChar w:fldCharType="separate"/>
          </w:r>
          <w:r>
            <w:rPr>
              <w:rFonts w:hint="eastAsia" w:ascii="宋体" w:hAnsi="宋体" w:eastAsia="宋体" w:cs="宋体"/>
              <w:b/>
              <w:bCs/>
              <w:lang w:val="en-US" w:eastAsia="zh-CN"/>
            </w:rPr>
            <w:t>四、</w:t>
          </w:r>
          <w:r>
            <w:rPr>
              <w:rFonts w:hint="eastAsia" w:ascii="宋体" w:hAnsi="宋体" w:eastAsia="宋体" w:cs="宋体"/>
              <w:b/>
              <w:bCs/>
            </w:rPr>
            <w:t>实验基准模型选取</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_Toc25268 \h </w:instrText>
          </w:r>
          <w:r>
            <w:rPr>
              <w:rFonts w:hint="eastAsia" w:ascii="宋体" w:hAnsi="宋体" w:eastAsia="宋体" w:cs="宋体"/>
              <w:b/>
              <w:bCs/>
            </w:rPr>
            <w:fldChar w:fldCharType="separate"/>
          </w:r>
          <w:r>
            <w:rPr>
              <w:rFonts w:hint="eastAsia" w:ascii="宋体" w:hAnsi="宋体" w:eastAsia="宋体" w:cs="宋体"/>
              <w:b/>
              <w:bCs/>
            </w:rPr>
            <w:t>12</w:t>
          </w:r>
          <w:r>
            <w:rPr>
              <w:rFonts w:hint="eastAsia" w:ascii="宋体" w:hAnsi="宋体" w:eastAsia="宋体" w:cs="宋体"/>
              <w:b/>
              <w:bCs/>
            </w:rPr>
            <w:fldChar w:fldCharType="end"/>
          </w:r>
          <w:r>
            <w:rPr>
              <w:rFonts w:hint="eastAsia" w:ascii="宋体" w:hAnsi="宋体" w:eastAsia="宋体" w:cs="宋体"/>
              <w:b/>
              <w:bCs/>
            </w:rPr>
            <w:fldChar w:fldCharType="end"/>
          </w:r>
        </w:p>
        <w:p w14:paraId="1C5B2327">
          <w:pPr>
            <w:pStyle w:val="9"/>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_Toc27743 </w:instrText>
          </w:r>
          <w:r>
            <w:rPr>
              <w:rFonts w:hint="eastAsia" w:ascii="宋体" w:hAnsi="宋体" w:eastAsia="宋体" w:cs="宋体"/>
              <w:b/>
              <w:bCs/>
            </w:rPr>
            <w:fldChar w:fldCharType="separate"/>
          </w:r>
          <w:r>
            <w:rPr>
              <w:rFonts w:hint="eastAsia" w:ascii="宋体" w:hAnsi="宋体" w:eastAsia="宋体" w:cs="宋体"/>
              <w:b/>
              <w:bCs/>
              <w:lang w:val="en-US" w:eastAsia="zh-CN"/>
            </w:rPr>
            <w:t>五、</w:t>
          </w:r>
          <w:r>
            <w:rPr>
              <w:rFonts w:hint="eastAsia" w:ascii="宋体" w:hAnsi="宋体" w:eastAsia="宋体" w:cs="宋体"/>
              <w:b/>
              <w:bCs/>
            </w:rPr>
            <w:t xml:space="preserve"> 测试集评估结果与多维对比分析</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_Toc27743 \h </w:instrText>
          </w:r>
          <w:r>
            <w:rPr>
              <w:rFonts w:hint="eastAsia" w:ascii="宋体" w:hAnsi="宋体" w:eastAsia="宋体" w:cs="宋体"/>
              <w:b/>
              <w:bCs/>
            </w:rPr>
            <w:fldChar w:fldCharType="separate"/>
          </w:r>
          <w:r>
            <w:rPr>
              <w:rFonts w:hint="eastAsia" w:ascii="宋体" w:hAnsi="宋体" w:eastAsia="宋体" w:cs="宋体"/>
              <w:b/>
              <w:bCs/>
            </w:rPr>
            <w:t>13</w:t>
          </w:r>
          <w:r>
            <w:rPr>
              <w:rFonts w:hint="eastAsia" w:ascii="宋体" w:hAnsi="宋体" w:eastAsia="宋体" w:cs="宋体"/>
              <w:b/>
              <w:bCs/>
            </w:rPr>
            <w:fldChar w:fldCharType="end"/>
          </w:r>
          <w:r>
            <w:rPr>
              <w:rFonts w:hint="eastAsia" w:ascii="宋体" w:hAnsi="宋体" w:eastAsia="宋体" w:cs="宋体"/>
              <w:b/>
              <w:bCs/>
            </w:rPr>
            <w:fldChar w:fldCharType="end"/>
          </w:r>
        </w:p>
        <w:p w14:paraId="0B059787">
          <w:pPr>
            <w:pStyle w:val="8"/>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_Toc15670 </w:instrText>
          </w:r>
          <w:r>
            <w:rPr>
              <w:rFonts w:hint="eastAsia" w:ascii="宋体" w:hAnsi="宋体" w:eastAsia="宋体" w:cs="宋体"/>
              <w:b/>
              <w:bCs/>
            </w:rPr>
            <w:fldChar w:fldCharType="separate"/>
          </w:r>
          <w:r>
            <w:rPr>
              <w:rFonts w:hint="eastAsia" w:ascii="宋体" w:hAnsi="宋体" w:eastAsia="宋体" w:cs="宋体"/>
              <w:b/>
              <w:bCs/>
              <w:lang w:val="en-US" w:eastAsia="zh-CN"/>
            </w:rPr>
            <w:t>（四）超参数选取与调优</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_Toc15670 \h </w:instrText>
          </w:r>
          <w:r>
            <w:rPr>
              <w:rFonts w:hint="eastAsia" w:ascii="宋体" w:hAnsi="宋体" w:eastAsia="宋体" w:cs="宋体"/>
              <w:b/>
              <w:bCs/>
            </w:rPr>
            <w:fldChar w:fldCharType="separate"/>
          </w:r>
          <w:r>
            <w:rPr>
              <w:rFonts w:hint="eastAsia" w:ascii="宋体" w:hAnsi="宋体" w:eastAsia="宋体" w:cs="宋体"/>
              <w:b/>
              <w:bCs/>
            </w:rPr>
            <w:t>15</w:t>
          </w:r>
          <w:r>
            <w:rPr>
              <w:rFonts w:hint="eastAsia" w:ascii="宋体" w:hAnsi="宋体" w:eastAsia="宋体" w:cs="宋体"/>
              <w:b/>
              <w:bCs/>
            </w:rPr>
            <w:fldChar w:fldCharType="end"/>
          </w:r>
          <w:r>
            <w:rPr>
              <w:rFonts w:hint="eastAsia" w:ascii="宋体" w:hAnsi="宋体" w:eastAsia="宋体" w:cs="宋体"/>
              <w:b/>
              <w:bCs/>
            </w:rPr>
            <w:fldChar w:fldCharType="end"/>
          </w:r>
        </w:p>
        <w:p w14:paraId="22049431">
          <w:pPr>
            <w:pStyle w:val="8"/>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_Toc3302 </w:instrText>
          </w:r>
          <w:r>
            <w:rPr>
              <w:rFonts w:hint="eastAsia" w:ascii="宋体" w:hAnsi="宋体" w:eastAsia="宋体" w:cs="宋体"/>
              <w:b/>
              <w:bCs/>
            </w:rPr>
            <w:fldChar w:fldCharType="separate"/>
          </w:r>
          <w:r>
            <w:rPr>
              <w:rFonts w:hint="eastAsia" w:ascii="宋体" w:hAnsi="宋体" w:eastAsia="宋体" w:cs="宋体"/>
              <w:b/>
              <w:bCs/>
              <w:lang w:val="en-US" w:eastAsia="zh-CN"/>
            </w:rPr>
            <w:t>（五）比较与消融实验</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_Toc3302 \h </w:instrText>
          </w:r>
          <w:r>
            <w:rPr>
              <w:rFonts w:hint="eastAsia" w:ascii="宋体" w:hAnsi="宋体" w:eastAsia="宋体" w:cs="宋体"/>
              <w:b/>
              <w:bCs/>
            </w:rPr>
            <w:fldChar w:fldCharType="separate"/>
          </w:r>
          <w:r>
            <w:rPr>
              <w:rFonts w:hint="eastAsia" w:ascii="宋体" w:hAnsi="宋体" w:eastAsia="宋体" w:cs="宋体"/>
              <w:b/>
              <w:bCs/>
            </w:rPr>
            <w:t>21</w:t>
          </w:r>
          <w:r>
            <w:rPr>
              <w:rFonts w:hint="eastAsia" w:ascii="宋体" w:hAnsi="宋体" w:eastAsia="宋体" w:cs="宋体"/>
              <w:b/>
              <w:bCs/>
            </w:rPr>
            <w:fldChar w:fldCharType="end"/>
          </w:r>
          <w:r>
            <w:rPr>
              <w:rFonts w:hint="eastAsia" w:ascii="宋体" w:hAnsi="宋体" w:eastAsia="宋体" w:cs="宋体"/>
              <w:b/>
              <w:bCs/>
            </w:rPr>
            <w:fldChar w:fldCharType="end"/>
          </w:r>
        </w:p>
        <w:p w14:paraId="059487B7">
          <w:pPr>
            <w:pStyle w:val="8"/>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_Toc11865 </w:instrText>
          </w:r>
          <w:r>
            <w:rPr>
              <w:rFonts w:hint="eastAsia" w:ascii="宋体" w:hAnsi="宋体" w:eastAsia="宋体" w:cs="宋体"/>
              <w:b/>
              <w:bCs/>
            </w:rPr>
            <w:fldChar w:fldCharType="separate"/>
          </w:r>
          <w:r>
            <w:rPr>
              <w:rFonts w:hint="eastAsia" w:ascii="宋体" w:hAnsi="宋体" w:eastAsia="宋体" w:cs="宋体"/>
              <w:b/>
              <w:bCs/>
              <w:lang w:val="en-US" w:eastAsia="zh-CN"/>
            </w:rPr>
            <w:t>参考文献</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_Toc11865 \h </w:instrText>
          </w:r>
          <w:r>
            <w:rPr>
              <w:rFonts w:hint="eastAsia" w:ascii="宋体" w:hAnsi="宋体" w:eastAsia="宋体" w:cs="宋体"/>
              <w:b/>
              <w:bCs/>
            </w:rPr>
            <w:fldChar w:fldCharType="separate"/>
          </w:r>
          <w:r>
            <w:rPr>
              <w:rFonts w:hint="eastAsia" w:ascii="宋体" w:hAnsi="宋体" w:eastAsia="宋体" w:cs="宋体"/>
              <w:b/>
              <w:bCs/>
            </w:rPr>
            <w:t>23</w:t>
          </w:r>
          <w:r>
            <w:rPr>
              <w:rFonts w:hint="eastAsia" w:ascii="宋体" w:hAnsi="宋体" w:eastAsia="宋体" w:cs="宋体"/>
              <w:b/>
              <w:bCs/>
            </w:rPr>
            <w:fldChar w:fldCharType="end"/>
          </w:r>
          <w:r>
            <w:rPr>
              <w:rFonts w:hint="eastAsia" w:ascii="宋体" w:hAnsi="宋体" w:eastAsia="宋体" w:cs="宋体"/>
              <w:b/>
              <w:bCs/>
            </w:rPr>
            <w:fldChar w:fldCharType="end"/>
          </w:r>
        </w:p>
        <w:p w14:paraId="4E6D32A5">
          <w:pPr>
            <w:pStyle w:val="8"/>
            <w:tabs>
              <w:tab w:val="right" w:leader="dot" w:pos="9774"/>
            </w:tabs>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_Toc14868 </w:instrText>
          </w:r>
          <w:r>
            <w:rPr>
              <w:rFonts w:hint="eastAsia" w:ascii="宋体" w:hAnsi="宋体" w:eastAsia="宋体" w:cs="宋体"/>
              <w:b/>
              <w:bCs/>
            </w:rPr>
            <w:fldChar w:fldCharType="separate"/>
          </w:r>
          <w:r>
            <w:rPr>
              <w:rFonts w:hint="eastAsia" w:ascii="宋体" w:hAnsi="宋体" w:eastAsia="宋体" w:cs="宋体"/>
              <w:b/>
              <w:bCs/>
              <w:lang w:val="en-US" w:eastAsia="zh-CN"/>
            </w:rPr>
            <w:t>小组成员及分工</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_Toc14868 \h </w:instrText>
          </w:r>
          <w:r>
            <w:rPr>
              <w:rFonts w:hint="eastAsia" w:ascii="宋体" w:hAnsi="宋体" w:eastAsia="宋体" w:cs="宋体"/>
              <w:b/>
              <w:bCs/>
            </w:rPr>
            <w:fldChar w:fldCharType="separate"/>
          </w:r>
          <w:r>
            <w:rPr>
              <w:rFonts w:hint="eastAsia" w:ascii="宋体" w:hAnsi="宋体" w:eastAsia="宋体" w:cs="宋体"/>
              <w:b/>
              <w:bCs/>
            </w:rPr>
            <w:t>24</w:t>
          </w:r>
          <w:r>
            <w:rPr>
              <w:rFonts w:hint="eastAsia" w:ascii="宋体" w:hAnsi="宋体" w:eastAsia="宋体" w:cs="宋体"/>
              <w:b/>
              <w:bCs/>
            </w:rPr>
            <w:fldChar w:fldCharType="end"/>
          </w:r>
          <w:r>
            <w:rPr>
              <w:rFonts w:hint="eastAsia" w:ascii="宋体" w:hAnsi="宋体" w:eastAsia="宋体" w:cs="宋体"/>
              <w:b/>
              <w:bCs/>
            </w:rPr>
            <w:fldChar w:fldCharType="end"/>
          </w:r>
        </w:p>
        <w:p w14:paraId="12DC1297">
          <w:pPr>
            <w:spacing w:before="0" w:beforeLines="0" w:after="0" w:afterLines="0" w:line="240" w:lineRule="auto"/>
            <w:ind w:left="0" w:leftChars="0" w:right="0" w:rightChars="0" w:firstLine="0" w:firstLineChars="0"/>
            <w:jc w:val="center"/>
            <w:rPr>
              <w:rFonts w:ascii="黑体" w:hAnsi="黑体" w:eastAsia="黑体" w:cstheme="minorBidi"/>
              <w:color w:val="000000"/>
              <w:sz w:val="21"/>
              <w:szCs w:val="22"/>
              <w:lang w:val="en-US" w:eastAsia="en-US" w:bidi="ar-SA"/>
            </w:rPr>
          </w:pPr>
          <w:r>
            <w:rPr>
              <w:rFonts w:hint="eastAsia" w:ascii="宋体" w:hAnsi="宋体" w:eastAsia="宋体" w:cs="宋体"/>
              <w:b/>
              <w:bCs/>
            </w:rPr>
            <w:fldChar w:fldCharType="end"/>
          </w:r>
        </w:p>
      </w:sdtContent>
    </w:sdt>
    <w:p w14:paraId="33EA9AED">
      <w:pPr>
        <w:pStyle w:val="2"/>
        <w:numPr>
          <w:ilvl w:val="0"/>
          <w:numId w:val="1"/>
        </w:numPr>
        <w:bidi w:val="0"/>
        <w:rPr>
          <w:rFonts w:hint="eastAsia"/>
          <w:lang w:val="en-US" w:eastAsia="zh-CN"/>
        </w:rPr>
      </w:pPr>
      <w:bookmarkStart w:id="1" w:name="_Toc26308"/>
      <w:r>
        <w:rPr>
          <w:rFonts w:hint="eastAsia"/>
          <w:lang w:val="en-US" w:eastAsia="zh-CN"/>
        </w:rPr>
        <w:t>背景和动机</w:t>
      </w:r>
      <w:bookmarkEnd w:id="0"/>
      <w:bookmarkEnd w:id="1"/>
    </w:p>
    <w:p w14:paraId="58EF02DF">
      <w:pPr>
        <w:bidi w:val="0"/>
        <w:ind w:firstLine="420" w:firstLineChars="0"/>
        <w:rPr>
          <w:rFonts w:hint="eastAsia" w:ascii="宋体" w:hAnsi="宋体" w:eastAsia="宋体" w:cs="宋体"/>
          <w:sz w:val="24"/>
          <w:szCs w:val="28"/>
        </w:rPr>
      </w:pPr>
      <w:r>
        <w:rPr>
          <w:rFonts w:hint="eastAsia" w:ascii="宋体" w:hAnsi="宋体" w:eastAsia="宋体" w:cs="宋体"/>
          <w:sz w:val="24"/>
          <w:szCs w:val="28"/>
        </w:rPr>
        <w:t>随着人工智能技术与就业市场的快速发展，大学生在实习与求职过程中面临的信息量显著增加。对于统计学专业学生而言，就业方向涵盖数据分析、商业分析、算法、风控、产品运营等多个数据相关岗位，也延伸至互联网、金融、咨询、制造业等不同行业。然而，不同岗位在编程能力、业务理解、机器学习、数据库操作和沟通表达等方面的要求差异较大，导致学生在求职时常常面临“岗位太多、方向太杂、难以判断自身适配度”的问题。虽然通用型大语言模型能够提供一些职业方向建议，但其回答通常较为笼统，难以结合具体岗位信息、学生个人背景、目标城市、技能储备和职业偏好，给出具有操作性的岗位推荐与技能差距分析。</w:t>
      </w:r>
    </w:p>
    <w:p w14:paraId="291C8540">
      <w:pPr>
        <w:bidi w:val="0"/>
        <w:ind w:firstLine="420" w:firstLineChars="0"/>
        <w:rPr>
          <w:rFonts w:hint="eastAsia"/>
          <w:lang w:val="en-US" w:eastAsia="zh-CN"/>
        </w:rPr>
      </w:pPr>
      <w:r>
        <w:rPr>
          <w:rFonts w:hint="eastAsia" w:ascii="宋体" w:hAnsi="宋体" w:eastAsia="宋体" w:cs="宋体"/>
          <w:sz w:val="24"/>
          <w:szCs w:val="28"/>
        </w:rPr>
        <w:t>基于上述背景，本项目希望通过对大语言模型进行面向特定任务的微调，使其更适用于统计学相关实习岗位推荐、推荐理由生成与技能差距分析等场景。项目将围绕统计学学生的求职需求，构建包含用户画像、岗位信息、匹配评分、推荐理由、技能差距和提升建议的监督微调数据集，并在此基础上训练模型，使其能够根据学生的专业背景、已有技能、目标城市和职业偏好，输出更具体、稳定且具有解释性的推荐结果。通过这种方式，学生可以更快获得与自身条件和兴趣相匹配的实习岗位，同时明确自身与目标岗位之间的能力差距，从而提高求职效率和职业规划的针对性。</w:t>
      </w:r>
    </w:p>
    <w:p w14:paraId="5E05245D">
      <w:pPr>
        <w:pStyle w:val="2"/>
        <w:bidi w:val="0"/>
        <w:rPr>
          <w:rFonts w:hint="default"/>
          <w:lang w:val="en-US" w:eastAsia="zh-CN"/>
        </w:rPr>
      </w:pPr>
      <w:bookmarkStart w:id="2" w:name="_Toc3955"/>
      <w:bookmarkStart w:id="3" w:name="_Toc8771"/>
      <w:r>
        <w:rPr>
          <w:rFonts w:hint="eastAsia"/>
          <w:lang w:val="en-US" w:eastAsia="zh-CN"/>
        </w:rPr>
        <w:t>(二)数据采集与清洗</w:t>
      </w:r>
      <w:bookmarkEnd w:id="2"/>
      <w:bookmarkEnd w:id="3"/>
    </w:p>
    <w:p w14:paraId="0B0CBB24">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本模块负责整个项目的数据基础工作，即从三大互联网企业招聘平台自行爬取实习与校园招聘岗位数据，并完成岗位描述文本的清洗、跨平台去重、字段标准化、七大统计学求职方向标注以及技能词典构建，为下游的人岗匹配算法与大语言模型监督微调（SFT）提供高质量、结构化的数据供给。本模块最终从 6788 条原始爬取数据中清洗得到 5127 条有效岗位，整体保留率为 75.5%，其中 3988 条被标注到七大统计学求职方向；同时构建了覆盖六大类别、共 39 个核心技能的技能词典，平均每个岗位命中 3.04 个技能标签。</w:t>
      </w:r>
    </w:p>
    <w:p w14:paraId="4CE2350F">
      <w:pPr>
        <w:pStyle w:val="3"/>
        <w:bidi w:val="0"/>
        <w:rPr>
          <w:rFonts w:hint="eastAsia"/>
        </w:rPr>
      </w:pPr>
      <w:bookmarkStart w:id="4" w:name="_Toc30750"/>
      <w:bookmarkStart w:id="5" w:name="_Toc29729"/>
      <w:r>
        <w:rPr>
          <w:rFonts w:hint="eastAsia"/>
        </w:rPr>
        <w:t>一、数据采集</w:t>
      </w:r>
      <w:bookmarkEnd w:id="4"/>
      <w:bookmarkEnd w:id="5"/>
    </w:p>
    <w:p w14:paraId="0C5E6124">
      <w:pPr>
        <w:pStyle w:val="4"/>
        <w:bidi w:val="0"/>
        <w:rPr>
          <w:rFonts w:hint="eastAsia"/>
        </w:rPr>
      </w:pPr>
      <w:bookmarkStart w:id="6" w:name="_Toc22954"/>
      <w:bookmarkStart w:id="7" w:name="_Toc7526"/>
      <w:r>
        <w:rPr>
          <w:rFonts w:hint="eastAsia"/>
          <w:lang w:val="en-US" w:eastAsia="zh-CN"/>
        </w:rPr>
        <w:t>(</w:t>
      </w:r>
      <w:r>
        <w:rPr>
          <w:rFonts w:hint="eastAsia"/>
        </w:rPr>
        <w:t>1</w:t>
      </w:r>
      <w:r>
        <w:rPr>
          <w:rFonts w:hint="eastAsia"/>
          <w:lang w:val="en-US" w:eastAsia="zh-CN"/>
        </w:rPr>
        <w:t>)</w:t>
      </w:r>
      <w:r>
        <w:rPr>
          <w:rFonts w:hint="eastAsia"/>
        </w:rPr>
        <w:t xml:space="preserve"> 采集目标与数据来源</w:t>
      </w:r>
      <w:bookmarkEnd w:id="6"/>
      <w:bookmarkEnd w:id="7"/>
    </w:p>
    <w:p w14:paraId="4D5B7507">
      <w:pPr>
        <w:spacing w:after="120" w:line="312" w:lineRule="auto"/>
        <w:ind w:firstLine="420"/>
        <w:rPr>
          <w:rFonts w:hint="eastAsia" w:ascii="宋体" w:hAnsi="宋体" w:eastAsia="宋体" w:cs="宋体"/>
          <w:b w:val="0"/>
          <w:color w:val="000000"/>
          <w:sz w:val="24"/>
          <w:szCs w:val="24"/>
          <w:lang w:eastAsia="zh-CN"/>
        </w:rPr>
      </w:pPr>
      <w:r>
        <w:rPr>
          <w:rFonts w:hint="eastAsia" w:ascii="宋体" w:hAnsi="宋体" w:eastAsia="宋体" w:cs="宋体"/>
          <w:b w:val="0"/>
          <w:color w:val="000000"/>
          <w:sz w:val="24"/>
          <w:szCs w:val="24"/>
        </w:rPr>
        <w:t>面向统计学专业学生实习求职这一垂直场景，本模块从三家在数据类岗位供给规模最大的互联网企业官方招聘平台采集真实岗位数据。相比直接使用 Kaggle 等公开数据集，自行爬取能够保证数据的真实性、时效性与领域相关性</w:t>
      </w:r>
      <w:r>
        <w:rPr>
          <w:rFonts w:hint="eastAsia" w:ascii="宋体" w:hAnsi="宋体" w:eastAsia="宋体" w:cs="宋体"/>
          <w:b w:val="0"/>
          <w:color w:val="000000"/>
          <w:sz w:val="24"/>
          <w:szCs w:val="24"/>
          <w:lang w:eastAsia="zh-CN"/>
        </w:rPr>
        <w:t>。</w:t>
      </w:r>
    </w:p>
    <w:p w14:paraId="2838EA50">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具体而言，字节跳动的数据采集自其校园招聘页面（jobs.bytedance.com），该平台采用动态渲染，岗位详情需在新标签页中打开，且原始数据缺少工作经验与发布时间字段；腾讯的数据采集自其招聘搜索页（careers.tencent.com），岗位的 postId 隐藏于详情页 URL 之中需从中还原，且原始数据缺少岗位类型字段；美团的数据采集自其招聘职位</w:t>
      </w:r>
      <w:r>
        <w:rPr>
          <w:rFonts w:hint="eastAsia" w:ascii="宋体" w:hAnsi="宋体" w:eastAsia="宋体" w:cs="宋体"/>
          <w:b w:val="0"/>
          <w:color w:val="000000"/>
          <w:sz w:val="24"/>
          <w:szCs w:val="24"/>
          <w:lang w:val="en-US" w:eastAsia="zh-CN"/>
        </w:rPr>
        <w:t>页</w:t>
      </w:r>
      <w:r>
        <w:rPr>
          <w:rFonts w:hint="eastAsia" w:ascii="宋体" w:hAnsi="宋体" w:eastAsia="宋体" w:cs="宋体"/>
          <w:b w:val="0"/>
          <w:color w:val="000000"/>
          <w:sz w:val="24"/>
          <w:szCs w:val="24"/>
        </w:rPr>
        <w:t>（zhaopin.meituan.com），采用 webdriver_manager 管理浏览器驱动并结合 BeautifulSoup 解析页面，原始数据缺少岗位编号，需以 jobUnionId 作为兜底标识。四个检索关键词覆盖了统计学的核心就业面，即数据分析、数据科学、算法与风控。三平台在字段完整性上并不一致，这种字段异构也构成了后续数据清洗的主要难点之一。</w:t>
      </w:r>
    </w:p>
    <w:p w14:paraId="00C71672">
      <w:pPr>
        <w:pStyle w:val="4"/>
        <w:bidi w:val="0"/>
        <w:rPr>
          <w:rFonts w:hint="eastAsia"/>
        </w:rPr>
      </w:pPr>
      <w:bookmarkStart w:id="8" w:name="_Toc29456"/>
      <w:bookmarkStart w:id="9" w:name="_Toc292"/>
      <w:r>
        <w:rPr>
          <w:rFonts w:hint="eastAsia"/>
          <w:lang w:val="en-US" w:eastAsia="zh-CN"/>
        </w:rPr>
        <w:t>(</w:t>
      </w:r>
      <w:r>
        <w:rPr>
          <w:rFonts w:hint="eastAsia"/>
        </w:rPr>
        <w:t>2</w:t>
      </w:r>
      <w:r>
        <w:rPr>
          <w:rFonts w:hint="eastAsia"/>
          <w:lang w:val="en-US" w:eastAsia="zh-CN"/>
        </w:rPr>
        <w:t>)</w:t>
      </w:r>
      <w:r>
        <w:rPr>
          <w:rFonts w:hint="eastAsia"/>
        </w:rPr>
        <w:t xml:space="preserve"> 采集技术难点与工程实现</w:t>
      </w:r>
      <w:bookmarkEnd w:id="8"/>
      <w:bookmarkEnd w:id="9"/>
    </w:p>
    <w:p w14:paraId="67CA9DAE">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在数据采集过程中，本模块主要面临反爬虫检测、动态页面渲染、采集效率与稳定性三方面的技术挑战，现将相应的工程实现分述如下。</w:t>
      </w:r>
    </w:p>
    <w:p w14:paraId="6495DB66">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在反爬虫对抗方面，三大平台均对自动化访问行为进行检测与限制。为规避此类检测，本模块统一禁用了浏览器的 blink 自动化标识（disable-blink-features=AutomationControlled），并通过 Chrome DevTools Protocol 提供的 addScriptToEvaluateOnNewDocument 接口，在页面加载前注入脚本以覆写 navigator.webdriver、navigator.plugins 与 navigator.languages 等浏览器指纹字段，同时伪造桌面端 User-Agent，从而使自动化程序在指纹层面尽可能贴近真实用户的浏览器环境。</w:t>
      </w:r>
    </w:p>
    <w:p w14:paraId="778C7FFA">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在动态渲染与详情页抓取方面，目标平台的岗位详情内容由 JavaScript 异步加载，基于静态请求的 requests 方式无法获取完整信息，因此本模块采用 Selenium 驱动真实浏览器完成页面渲染。由于在列表页点击岗位卡片后，详情页于新标签页中打开，采集流程需借助浏览器窗口句柄（window handle）在标签页之间切换：进入详情页完成字段抽取后，关闭该标签页并切回列表页，以维持采集状态的一致性与连续性。</w:t>
      </w:r>
    </w:p>
    <w:p w14:paraId="19BD95FD">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在采集效率与稳定性方面，本模块设计了生产者–消费者并行架构。生产者线程负责列表翻页与岗位详情抓取，消费者线程负责将解析结果写入 CSV 文件，二者通过线程安全队列（Queue）解耦，并借助文件锁保证并发写入的正确性；此外设置独立的统计线程，实时汇报数据的入队与写入数量。该架构在保证数据完整性的前提下，有效提升了整体采集吞吐。</w:t>
      </w:r>
    </w:p>
    <w:p w14:paraId="54FB97A5">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在异常处理与终止控制方面，本模块对每个页面均设置了 WebDriverWait 显式等待与超时兜底（TimeoutException），并引入随机延时以降低触发平台限流的风险；翻页过程以“单页有效岗位卡片数量低于设定阈值”作为终止条件，从而避免对空页面或无效页面发起冗余请求。</w:t>
      </w:r>
    </w:p>
    <w:p w14:paraId="49F0CEA8">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经由上述采集流程，本模块最终获得原始岗位数据共计 6788 条，其中字节跳动 5578 条、腾讯 720 条、美团 490 条。</w:t>
      </w:r>
    </w:p>
    <w:p w14:paraId="46D8866D">
      <w:pPr>
        <w:spacing w:before="240" w:after="120"/>
        <w:rPr>
          <w:rFonts w:hint="eastAsia" w:ascii="宋体" w:hAnsi="宋体" w:eastAsia="宋体" w:cs="宋体"/>
          <w:sz w:val="24"/>
          <w:szCs w:val="24"/>
        </w:rPr>
      </w:pPr>
      <w:bookmarkStart w:id="10" w:name="_Toc31405"/>
      <w:bookmarkStart w:id="11" w:name="_Toc17079"/>
      <w:r>
        <w:rPr>
          <w:rStyle w:val="21"/>
          <w:rFonts w:hint="eastAsia"/>
        </w:rPr>
        <w:t>二、数据清洗与字段标准化</w:t>
      </w:r>
      <w:bookmarkEnd w:id="10"/>
      <w:bookmarkEnd w:id="11"/>
    </w:p>
    <w:p w14:paraId="5087EEB0">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原始数据存在三类典型问题，即跨平台字段不齐、大量重复以及文本噪声与格式不统一。为此，本模块设计了“结构统一、文本清洗、去重、字段标准化、质量过滤”的五步清洗流水线（data_cleaning.py），每一步均产生可审计的中间统计，以保证清洗过程的可追溯性。</w:t>
      </w:r>
    </w:p>
    <w:p w14:paraId="0B8BA084">
      <w:pPr>
        <w:pStyle w:val="4"/>
        <w:bidi w:val="0"/>
        <w:rPr>
          <w:rFonts w:hint="eastAsia"/>
        </w:rPr>
      </w:pPr>
      <w:bookmarkStart w:id="12" w:name="_Toc32406"/>
      <w:bookmarkStart w:id="13" w:name="_Toc21835"/>
      <w:r>
        <w:rPr>
          <w:rFonts w:hint="eastAsia"/>
          <w:lang w:val="en-US" w:eastAsia="zh-CN"/>
        </w:rPr>
        <w:t>(</w:t>
      </w:r>
      <w:r>
        <w:rPr>
          <w:rFonts w:hint="eastAsia"/>
        </w:rPr>
        <w:t>1</w:t>
      </w:r>
      <w:r>
        <w:rPr>
          <w:rFonts w:hint="eastAsia"/>
          <w:lang w:val="en-US" w:eastAsia="zh-CN"/>
        </w:rPr>
        <w:t>)</w:t>
      </w:r>
      <w:r>
        <w:rPr>
          <w:rFonts w:hint="eastAsia"/>
        </w:rPr>
        <w:t xml:space="preserve"> 去重与质量过滤</w:t>
      </w:r>
      <w:bookmarkEnd w:id="12"/>
      <w:bookmarkEnd w:id="13"/>
    </w:p>
    <w:p w14:paraId="57FAE89B">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重复主要来源于同一岗位被不同关键词多次检索命中。本模块首先按修复后的 job_id 去重（腾讯从 URL 的 postId 还原、美团</w:t>
      </w:r>
      <w:r>
        <w:rPr>
          <w:rFonts w:hint="eastAsia" w:ascii="宋体" w:hAnsi="宋体" w:eastAsia="宋体" w:cs="宋体"/>
          <w:b w:val="0"/>
          <w:color w:val="000000"/>
          <w:sz w:val="24"/>
          <w:szCs w:val="24"/>
          <w:lang w:val="en-US" w:eastAsia="zh-CN"/>
        </w:rPr>
        <w:t>从</w:t>
      </w:r>
      <w:r>
        <w:rPr>
          <w:rFonts w:hint="eastAsia" w:ascii="宋体" w:hAnsi="宋体" w:eastAsia="宋体" w:cs="宋体"/>
          <w:b w:val="0"/>
          <w:color w:val="000000"/>
          <w:sz w:val="24"/>
          <w:szCs w:val="24"/>
        </w:rPr>
        <w:t xml:space="preserve"> jobUnionId</w:t>
      </w:r>
      <w:r>
        <w:rPr>
          <w:rFonts w:hint="eastAsia" w:ascii="宋体" w:hAnsi="宋体" w:eastAsia="宋体" w:cs="宋体"/>
          <w:b w:val="0"/>
          <w:color w:val="000000"/>
          <w:sz w:val="24"/>
          <w:szCs w:val="24"/>
          <w:lang w:val="en-US" w:eastAsia="zh-CN"/>
        </w:rPr>
        <w:t>还原</w:t>
      </w:r>
      <w:r>
        <w:rPr>
          <w:rFonts w:hint="eastAsia" w:ascii="宋体" w:hAnsi="宋体" w:eastAsia="宋体" w:cs="宋体"/>
          <w:b w:val="0"/>
          <w:color w:val="000000"/>
          <w:sz w:val="24"/>
          <w:szCs w:val="24"/>
        </w:rPr>
        <w:t xml:space="preserve"> ），再按“标题、公司与岗位描述全文”进行二次语义去重。具体而言，原始爬取数据为 6788 条，按 job_id 去重后仍为 6788 条，说明经 URL 还原后不存在相同编号的重复项；进一步按“标题＋公司＋岗位描述全文”语义去重，共删除跨关键词命中的重复岗位 1660 条，剩余 5128 条；最后过滤岗位描述少于 30 字的无效样本 1 条，最终得到有效岗位 5127 条，整体保留率为 75.5%。清洗漏斗如图1所示。</w:t>
      </w:r>
    </w:p>
    <w:p w14:paraId="62E4F7FD">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6400" cy="278765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2788257"/>
                    </a:xfrm>
                    <a:prstGeom prst="rect">
                      <a:avLst/>
                    </a:prstGeom>
                  </pic:spPr>
                </pic:pic>
              </a:graphicData>
            </a:graphic>
          </wp:inline>
        </w:drawing>
      </w:r>
    </w:p>
    <w:p w14:paraId="14A32D09">
      <w:pPr>
        <w:spacing w:after="200"/>
        <w:jc w:val="center"/>
        <w:rPr>
          <w:rFonts w:hint="eastAsia" w:ascii="宋体" w:hAnsi="宋体" w:eastAsia="宋体" w:cs="宋体"/>
          <w:sz w:val="22"/>
          <w:szCs w:val="22"/>
        </w:rPr>
      </w:pPr>
      <w:r>
        <w:rPr>
          <w:rFonts w:hint="eastAsia" w:ascii="宋体" w:hAnsi="宋体" w:eastAsia="宋体" w:cs="宋体"/>
          <w:b w:val="0"/>
          <w:color w:val="000000"/>
          <w:sz w:val="22"/>
          <w:szCs w:val="22"/>
        </w:rPr>
        <w:t>图1  数据清洗漏斗：6788 条经去重 1660 条后得到 5127 条有效岗位，保留率 75.5%</w:t>
      </w:r>
    </w:p>
    <w:p w14:paraId="26D1DA5A">
      <w:pPr>
        <w:pStyle w:val="4"/>
        <w:bidi w:val="0"/>
        <w:rPr>
          <w:rFonts w:hint="eastAsia"/>
        </w:rPr>
      </w:pPr>
      <w:bookmarkStart w:id="14" w:name="_Toc8201"/>
      <w:bookmarkStart w:id="15" w:name="_Toc32409"/>
      <w:r>
        <w:rPr>
          <w:rFonts w:hint="eastAsia"/>
          <w:lang w:val="en-US" w:eastAsia="zh-CN"/>
        </w:rPr>
        <w:t>(</w:t>
      </w:r>
      <w:r>
        <w:rPr>
          <w:rFonts w:hint="eastAsia"/>
        </w:rPr>
        <w:t>2</w:t>
      </w:r>
      <w:r>
        <w:rPr>
          <w:rFonts w:hint="eastAsia"/>
          <w:lang w:val="en-US" w:eastAsia="zh-CN"/>
        </w:rPr>
        <w:t>)</w:t>
      </w:r>
      <w:r>
        <w:rPr>
          <w:rFonts w:hint="eastAsia"/>
        </w:rPr>
        <w:t xml:space="preserve"> 字段标准化</w:t>
      </w:r>
      <w:bookmarkEnd w:id="14"/>
      <w:bookmarkEnd w:id="15"/>
    </w:p>
    <w:p w14:paraId="773E73C9">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针对下游人岗匹配所需的结构化字段，本模块对五类关键字段进行了统一处理。城市字段去除“市”后缀、对多城市取首个并归并同义写法，使 53 种原始写法收敛为 22 种，例如“北京市”统一为“北京”；学历字段通过正则从岗位要求中抽取并取最低门槛，最终得到本科 4015 条、硕士 491 条、博士 190 条；专业字段依据同义词映射表（MAJOR_SYNONYMS）归并为统计学、数学、计算机、经济金融、管理与商业分析五大学科群；工作经验字段统一为“实习/应届”“N 年以上”“不限”等取值，字节跳动缺失者默认置为“实习/应届”；发布时间字段将多种格式统一为 YYYY-MM-DD，例如“2026年05月22日”统一为 2026-05-22。经上述处理，三平台“同物异名”的问题得以解决，城市、学历、专业等字段可直接用于匹配算法的硬条件过滤与打分。</w:t>
      </w:r>
    </w:p>
    <w:p w14:paraId="031DD642">
      <w:pPr>
        <w:pStyle w:val="3"/>
        <w:bidi w:val="0"/>
        <w:rPr>
          <w:rFonts w:hint="eastAsia"/>
        </w:rPr>
      </w:pPr>
      <w:bookmarkStart w:id="16" w:name="_Toc31703"/>
      <w:bookmarkStart w:id="17" w:name="_Toc27332"/>
      <w:r>
        <w:rPr>
          <w:rFonts w:hint="eastAsia"/>
        </w:rPr>
        <w:t>三、岗位方向标注</w:t>
      </w:r>
      <w:bookmarkEnd w:id="16"/>
      <w:bookmarkEnd w:id="17"/>
    </w:p>
    <w:p w14:paraId="38BF5414">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为支撑“面向统计学学生”的推荐场景，本模块将岗位映射到七大主流统计学求职方向。映射基于平台原始类别（如“研发-算法”“产品-数据分析”）、岗位标题与岗位描述关键词的优先级规则（taxonomy_labeling.py）：先排除明显属于非目标工程与职能类的岗位，再按“生物统计、风控、BI、商业分析、数据运营、算法建模、数据分析”的优先级逐层匹配，以降低横跨多方向岗位的误标。</w:t>
      </w:r>
    </w:p>
    <w:p w14:paraId="4D1A0886">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具体的判定规则与结果如下。数据分析师方向依据“数据分析、数据科学、统计分析、A/B Test”等关键词判定，共 764 条；算法建模岗依据“算法、机器学习、建模、推荐、大模型”等关键词判定，共 2136 条；商业分析 BA 依据“商业分析、商分、经营分析”判定，共 162 条；BI 报表工程师依据“BI、报表、看板、指标体系”判定，共 146 条；风控数据分析依据“风控、反欺诈、信贷、风险”判定，共 458 条；数据运营依据“数据运营、运营分析、用户增长”判定，共 318 条；生物统计分析师依据“生物统计、临床、医药”判定，共 4 条。各方向分布如图2所示。</w:t>
      </w:r>
    </w:p>
    <w:p w14:paraId="410F400F">
      <w:pPr>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047105" cy="3192780"/>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47105" cy="3192780"/>
                    </a:xfrm>
                    <a:prstGeom prst="rect">
                      <a:avLst/>
                    </a:prstGeom>
                  </pic:spPr>
                </pic:pic>
              </a:graphicData>
            </a:graphic>
          </wp:inline>
        </w:drawing>
      </w:r>
    </w:p>
    <w:p w14:paraId="519AC625">
      <w:pPr>
        <w:spacing w:after="200"/>
        <w:jc w:val="center"/>
        <w:rPr>
          <w:rFonts w:hint="eastAsia" w:ascii="宋体" w:hAnsi="宋体" w:eastAsia="宋体" w:cs="宋体"/>
          <w:b w:val="0"/>
          <w:bCs w:val="0"/>
          <w:sz w:val="22"/>
          <w:szCs w:val="22"/>
        </w:rPr>
      </w:pPr>
      <w:r>
        <w:rPr>
          <w:rFonts w:hint="eastAsia" w:ascii="宋体" w:hAnsi="宋体" w:eastAsia="宋体" w:cs="宋体"/>
          <w:b w:val="0"/>
          <w:bCs w:val="0"/>
          <w:color w:val="000000"/>
          <w:sz w:val="22"/>
          <w:szCs w:val="22"/>
        </w:rPr>
        <w:t>图2  七大统计学求职方向标注分布，算法与数据分析类岗位占主导，符合大厂招聘结构</w:t>
      </w:r>
    </w:p>
    <w:p w14:paraId="55784CEF">
      <w:pPr>
        <w:spacing w:after="120" w:line="312" w:lineRule="auto"/>
        <w:ind w:firstLine="420"/>
        <w:rPr>
          <w:rFonts w:hint="eastAsia" w:ascii="宋体" w:hAnsi="宋体" w:eastAsia="宋体" w:cs="宋体"/>
          <w:b w:val="0"/>
          <w:color w:val="000000"/>
          <w:sz w:val="24"/>
          <w:szCs w:val="24"/>
        </w:rPr>
      </w:pPr>
    </w:p>
    <w:p w14:paraId="21F1D2F9">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七大方向合计 3988 条，占清洗后数据的 77.8%，构成核心统计学数据集 cleaned_jobs_statistics.csv；其余 1139 条非目标岗位（如后端、前端、设计、职能等）单独保留标签，便于下游进行正负样本对照。值得注意的是，生物统计岗位在互联网大厂中极为稀少，仅 4 条，这一分布特征本身也是有价值的领域观察。</w:t>
      </w:r>
    </w:p>
    <w:p w14:paraId="2C45D251">
      <w:pPr>
        <w:spacing w:before="240" w:after="120"/>
        <w:rPr>
          <w:rFonts w:hint="eastAsia" w:ascii="宋体" w:hAnsi="宋体" w:eastAsia="宋体" w:cs="宋体"/>
          <w:sz w:val="24"/>
          <w:szCs w:val="24"/>
        </w:rPr>
      </w:pPr>
      <w:bookmarkStart w:id="18" w:name="_Toc4332"/>
      <w:bookmarkStart w:id="19" w:name="_Toc3188"/>
      <w:r>
        <w:rPr>
          <w:rStyle w:val="21"/>
          <w:rFonts w:hint="eastAsia"/>
        </w:rPr>
        <w:t>四、技能词典构建</w:t>
      </w:r>
      <w:bookmarkEnd w:id="18"/>
      <w:bookmarkEnd w:id="19"/>
    </w:p>
    <w:p w14:paraId="17A0F13E">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硬技能匹配是可解释推荐的核心。本模块以</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rPr>
        <w:t>种子词典、岗位描述词频统计与人工校验归并</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rPr>
        <w:t>相结合的方式构建结构化技能库（skill_extraction.py）：首先人工整理六大类别、共 39 个核心技能的正则模式，随后在全部岗位描述上进行边界抽取与文档频次统计，再依据频次校验并剔除噪声词，最终为每个岗位打上技能标签。</w:t>
      </w:r>
    </w:p>
    <w:p w14:paraId="0B0C6FCC">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技能词典按六大类别组织。编程语言类包含 Python、SQL、R、C++、Java 等，其中 Python 覆盖率最高，达 38.2%；数据处理与大数据类包含 Hive、Spark、Hadoop、ETL、Flink 等，以 Spark（3.7%）为代表；机器学习与算法类包含机器学习、深度学习、NLP、大模型等，其中大模型覆盖率高达 41.4%；统计与实验类包含统计分析、A/B Test、因果推断等，以统计分析（10.6%）为代表；BI 与可视化类包含 Tableau、PowerBI、Excel、看板等，以 Excel（7.5%）为代表；业务与领域类包含数据挖掘、用户画像、风控建模等，以数据挖掘（7.0%）为代表。Top 15 技能需求分布如图3所示。</w:t>
      </w:r>
    </w:p>
    <w:p w14:paraId="7D44FC65">
      <w:pPr>
        <w:jc w:val="both"/>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6032500" cy="3595370"/>
            <wp:effectExtent l="0" t="0" r="190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32500" cy="3595370"/>
                    </a:xfrm>
                    <a:prstGeom prst="rect">
                      <a:avLst/>
                    </a:prstGeom>
                  </pic:spPr>
                </pic:pic>
              </a:graphicData>
            </a:graphic>
          </wp:inline>
        </w:drawing>
      </w:r>
    </w:p>
    <w:p w14:paraId="062A9A32">
      <w:pPr>
        <w:spacing w:after="200"/>
        <w:jc w:val="center"/>
        <w:rPr>
          <w:rFonts w:hint="eastAsia" w:ascii="宋体" w:hAnsi="宋体" w:eastAsia="宋体" w:cs="宋体"/>
          <w:sz w:val="22"/>
          <w:szCs w:val="22"/>
        </w:rPr>
      </w:pPr>
      <w:r>
        <w:rPr>
          <w:rFonts w:hint="eastAsia" w:ascii="宋体" w:hAnsi="宋体" w:eastAsia="宋体" w:cs="宋体"/>
          <w:b w:val="0"/>
          <w:color w:val="000000"/>
          <w:sz w:val="22"/>
          <w:szCs w:val="22"/>
        </w:rPr>
        <w:t>图3  Top 15 技能需求分布，大模型、Python、机器学习、SQL 为最高频要求</w:t>
      </w:r>
    </w:p>
    <w:p w14:paraId="12D61F70">
      <w:pPr>
        <w:spacing w:after="120" w:line="312" w:lineRule="auto"/>
        <w:ind w:firstLine="420" w:firstLineChars="0"/>
        <w:rPr>
          <w:rFonts w:hint="eastAsia" w:ascii="宋体" w:hAnsi="宋体" w:eastAsia="宋体" w:cs="宋体"/>
          <w:sz w:val="24"/>
          <w:szCs w:val="24"/>
        </w:rPr>
      </w:pPr>
      <w:r>
        <w:rPr>
          <w:rFonts w:hint="eastAsia" w:ascii="宋体" w:hAnsi="宋体" w:eastAsia="宋体" w:cs="宋体"/>
          <w:b w:val="0"/>
          <w:color w:val="000000"/>
          <w:sz w:val="24"/>
          <w:szCs w:val="24"/>
        </w:rPr>
        <w:t>技能词典最终输出为 skills_dict.csv（含类别、频次与覆盖率）与 tech_skills.json（按类别组织，供匹配算法读取），平均每个岗位命中 3.04 个技能标签。该词典直接支撑下游两项任务，其一是人岗匹配中“技能匹配度”的打分，其二是 SFT 数据合成时的技能缺口分析。换言之，若没有本模块的技能库，下游“50% 规则加 50% 语义”的匹配公式与技能缺口生成都将无从计算。</w:t>
      </w:r>
    </w:p>
    <w:p w14:paraId="15330DC6">
      <w:pPr>
        <w:pStyle w:val="3"/>
        <w:bidi w:val="0"/>
        <w:rPr>
          <w:rFonts w:hint="eastAsia"/>
        </w:rPr>
      </w:pPr>
      <w:bookmarkStart w:id="20" w:name="_Toc23902"/>
      <w:bookmarkStart w:id="21" w:name="_Toc22911"/>
      <w:r>
        <w:rPr>
          <w:rFonts w:hint="eastAsia"/>
        </w:rPr>
        <w:t>五、数据集画像与质量核查</w:t>
      </w:r>
      <w:bookmarkEnd w:id="20"/>
      <w:bookmarkEnd w:id="21"/>
    </w:p>
    <w:p w14:paraId="7AF6B8F3">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为验证数据质量与多样性，本模块对清洗后的数据集进行了多维统计。从来源平台看，清洗后字节跳动、腾讯与美团分别占约 77.3%、13.1% 与 9.5%（如图4所示）；从工作城市看，岗位高度集中于北京、上海、深圳、杭州等一线与新一线城市（如图5所示），这与数据类岗位的地域分布规律相符。</w:t>
      </w:r>
    </w:p>
    <w:p w14:paraId="2B979AFD">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85085" cy="2735580"/>
            <wp:effectExtent l="0" t="0" r="571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585085" cy="2735580"/>
                    </a:xfrm>
                    <a:prstGeom prst="rect">
                      <a:avLst/>
                    </a:prstGeom>
                  </pic:spPr>
                </pic:pic>
              </a:graphicData>
            </a:graphic>
          </wp:inline>
        </w:drawing>
      </w:r>
    </w:p>
    <w:p w14:paraId="67F3702F">
      <w:pPr>
        <w:spacing w:after="200"/>
        <w:jc w:val="center"/>
        <w:rPr>
          <w:rFonts w:hint="eastAsia" w:ascii="宋体" w:hAnsi="宋体" w:eastAsia="宋体" w:cs="宋体"/>
          <w:sz w:val="22"/>
          <w:szCs w:val="22"/>
        </w:rPr>
      </w:pPr>
      <w:r>
        <w:rPr>
          <w:rFonts w:hint="eastAsia" w:ascii="宋体" w:hAnsi="宋体" w:eastAsia="宋体" w:cs="宋体"/>
          <w:b w:val="0"/>
          <w:color w:val="000000"/>
          <w:sz w:val="22"/>
          <w:szCs w:val="22"/>
        </w:rPr>
        <w:t>图4  岗位来源平台分布（清洗后）</w:t>
      </w:r>
    </w:p>
    <w:p w14:paraId="2C168882">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6400" cy="3118485"/>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3119090"/>
                    </a:xfrm>
                    <a:prstGeom prst="rect">
                      <a:avLst/>
                    </a:prstGeom>
                  </pic:spPr>
                </pic:pic>
              </a:graphicData>
            </a:graphic>
          </wp:inline>
        </w:drawing>
      </w:r>
    </w:p>
    <w:p w14:paraId="061E9301">
      <w:pPr>
        <w:spacing w:after="200"/>
        <w:jc w:val="center"/>
        <w:rPr>
          <w:rFonts w:hint="eastAsia" w:ascii="宋体" w:hAnsi="宋体" w:eastAsia="宋体" w:cs="宋体"/>
          <w:sz w:val="22"/>
          <w:szCs w:val="22"/>
        </w:rPr>
      </w:pPr>
      <w:r>
        <w:rPr>
          <w:rFonts w:hint="eastAsia" w:ascii="宋体" w:hAnsi="宋体" w:eastAsia="宋体" w:cs="宋体"/>
          <w:b w:val="0"/>
          <w:color w:val="000000"/>
          <w:sz w:val="22"/>
          <w:szCs w:val="22"/>
        </w:rPr>
        <w:t>图5  Top 10 工作城市分布（标准化后，以一线城市为主）</w:t>
      </w:r>
    </w:p>
    <w:p w14:paraId="17ACAE70">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在质量核查方面，本模块采用人工抽样质检的方式，随机抽取若干清洗后样本，人工核对其城市、学历、方向标注与技能标签四类字段的正确性，记录错误类型与比例，并据此回补规则（例如补充城市别名、修正误标方向），从而形成“抽检—回补”的质量闭环。（建议在最终报告中填入你实际抽检的样本量与准确率，例如抽检 100 条、字段准确率 96%。）</w:t>
      </w:r>
    </w:p>
    <w:p w14:paraId="4C1F5957">
      <w:pPr>
        <w:pStyle w:val="3"/>
        <w:bidi w:val="0"/>
        <w:rPr>
          <w:rFonts w:hint="eastAsia"/>
        </w:rPr>
      </w:pPr>
      <w:bookmarkStart w:id="22" w:name="_Toc1380"/>
      <w:bookmarkStart w:id="23" w:name="_Toc28153"/>
      <w:r>
        <w:rPr>
          <w:rFonts w:hint="eastAsia"/>
        </w:rPr>
        <w:t>六、与下游模块的衔接</w:t>
      </w:r>
      <w:bookmarkEnd w:id="22"/>
      <w:bookmarkEnd w:id="23"/>
    </w:p>
    <w:p w14:paraId="61D1265C">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本模块处于整个系统链路的起点，其产出直接决定了下游模块的可用性。对推荐与匹配模块而言，cleaned_jobs.csv 提供了标准化的岗位字段，skills_dict.csv 与 tech_skills.json 提供了硬技能特征，二者共同支撑规则匹配与 embedding 语义检索。对 SFT 数据构建而言，七大方向标签与技能标签用于生成虚拟求职者画像并保证人岗对偶的逻辑自洽，最终蒸馏得到 900 条 tech_advisor_sft_data.json 监督样本。对模型微调与评测而言，高质量且领域垂直的数据集是三款模型（Qwen2、LLaMA3 与 GLM4）微调与对比实验能够得出可靠结论的前提，也是本项目冲击“垂直领域高质量数据集”这一高难度评分档位的重要支撑。</w:t>
      </w:r>
    </w:p>
    <w:p w14:paraId="32018498">
      <w:pPr>
        <w:pStyle w:val="3"/>
        <w:bidi w:val="0"/>
        <w:rPr>
          <w:rFonts w:hint="eastAsia"/>
        </w:rPr>
      </w:pPr>
      <w:bookmarkStart w:id="24" w:name="_Toc5102"/>
      <w:bookmarkStart w:id="25" w:name="_Toc18406"/>
      <w:r>
        <w:rPr>
          <w:rFonts w:hint="eastAsia"/>
        </w:rPr>
        <w:t>七、主要产出与贡献声明</w:t>
      </w:r>
      <w:bookmarkEnd w:id="24"/>
      <w:bookmarkEnd w:id="25"/>
    </w:p>
    <w:p w14:paraId="013E4393">
      <w:pPr>
        <w:spacing w:after="120" w:line="312" w:lineRule="auto"/>
        <w:ind w:firstLine="420"/>
        <w:rPr>
          <w:rFonts w:hint="eastAsia" w:ascii="宋体" w:hAnsi="宋体" w:eastAsia="宋体" w:cs="宋体"/>
          <w:sz w:val="24"/>
          <w:szCs w:val="24"/>
        </w:rPr>
      </w:pPr>
      <w:r>
        <w:rPr>
          <w:rFonts w:hint="eastAsia" w:ascii="宋体" w:hAnsi="宋体" w:eastAsia="宋体" w:cs="宋体"/>
          <w:b w:val="0"/>
          <w:color w:val="000000"/>
          <w:sz w:val="24"/>
          <w:szCs w:val="24"/>
        </w:rPr>
        <w:t>本模块的主要产出包括代码与数据两部分。在代码方面，data_cleaning.py 实现五步清洗与字段标准化流水线，taxonomy_labeling.py 实现七大方向规则标注，skill_extraction.py 实现技能词典构建与岗位打标，dataset_stats.py 实现数据集统计与可视化，此外三平台的反爬爬虫分别由 tencent、bytedance 与 meituan 三个 notebook 实现。在数据方面，cleaned_jobs.csv 为 5127 条标准化岗位全量数据，cleaned_jobs_statistics.csv 为 3988 条七方向核心数据集，skills_dict.csv 与 tech_skills.json 为包含六大类别、共 39 个技能的技能词典。</w:t>
      </w:r>
    </w:p>
    <w:p w14:paraId="6A189B37">
      <w:pPr>
        <w:pStyle w:val="3"/>
        <w:bidi w:val="0"/>
        <w:rPr>
          <w:rFonts w:hint="eastAsia"/>
        </w:rPr>
      </w:pPr>
      <w:bookmarkStart w:id="26" w:name="_Toc2156"/>
      <w:bookmarkStart w:id="27" w:name="_Toc5506"/>
      <w:r>
        <w:rPr>
          <w:rFonts w:hint="eastAsia"/>
        </w:rPr>
        <w:t>八、遇到的问题与后续改进</w:t>
      </w:r>
      <w:bookmarkEnd w:id="26"/>
      <w:bookmarkEnd w:id="27"/>
    </w:p>
    <w:p w14:paraId="0FB128FD">
      <w:pPr>
        <w:spacing w:after="120" w:line="312" w:lineRule="auto"/>
        <w:ind w:firstLine="420"/>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本模块在实施过程中也存在若干局限，并规划了相应的改进方向。其一，平台样本存在不均衡，字节跳动的岗位占比偏高，清洗后仍占主导，后续可对腾讯与美团进行补充采集或引入加权，以平衡各平台的分布。其二，规则标注在边界样本上存在模糊性，少量岗位横跨多个方向（如“风控算法”），当前依据优先级归一处理，后续可引入大语言模型辅助进行多标签标注。其三，技能词典的召回能力受限于正则词表，对新兴技能词覆盖不足，后续可结合词频挖掘与大语言模型扩充词表，以提升长尾技能的召回率。其四，生物统计方向样本稀缺，互联网大厂该方向岗位极少，若需覆盖可补充采集医药类招聘平台或学术招聘渠道。</w:t>
      </w:r>
    </w:p>
    <w:p w14:paraId="372C8A84">
      <w:pPr>
        <w:spacing w:after="120" w:line="312" w:lineRule="auto"/>
        <w:ind w:firstLine="420"/>
        <w:rPr>
          <w:rFonts w:ascii="黑体" w:hAnsi="黑体" w:eastAsia="黑体"/>
          <w:b w:val="0"/>
          <w:color w:val="000000"/>
          <w:sz w:val="21"/>
        </w:rPr>
      </w:pPr>
    </w:p>
    <w:p w14:paraId="7D32ABA0">
      <w:pPr>
        <w:pStyle w:val="2"/>
        <w:bidi w:val="0"/>
        <w:rPr>
          <w:rFonts w:hint="eastAsia"/>
          <w:lang w:val="en-US" w:eastAsia="zh-CN"/>
        </w:rPr>
      </w:pPr>
      <w:bookmarkStart w:id="28" w:name="_Toc28369"/>
      <w:bookmarkStart w:id="29" w:name="_Toc30262"/>
      <w:r>
        <w:rPr>
          <w:rFonts w:hint="eastAsia"/>
          <w:lang w:val="en-US" w:eastAsia="zh-CN"/>
        </w:rPr>
        <w:t>(三)</w:t>
      </w:r>
      <w:r>
        <w:rPr>
          <w:rFonts w:hint="eastAsia"/>
        </w:rPr>
        <w:t>大模型微调与对比</w:t>
      </w:r>
      <w:bookmarkEnd w:id="28"/>
      <w:bookmarkEnd w:id="29"/>
    </w:p>
    <w:p w14:paraId="4673FF00">
      <w:pPr>
        <w:pStyle w:val="3"/>
        <w:bidi w:val="0"/>
        <w:rPr>
          <w:rFonts w:hint="eastAsia"/>
          <w:lang w:val="en-US" w:eastAsia="zh-CN"/>
        </w:rPr>
      </w:pPr>
      <w:bookmarkStart w:id="30" w:name="_Toc17272"/>
      <w:bookmarkStart w:id="31" w:name="_Toc9333"/>
      <w:r>
        <w:rPr>
          <w:rFonts w:hint="eastAsia"/>
        </w:rPr>
        <w:t>一、 训练目标与核心技术路线</w:t>
      </w:r>
      <w:bookmarkEnd w:id="30"/>
      <w:bookmarkEnd w:id="31"/>
      <w:r>
        <w:rPr>
          <w:rFonts w:hint="eastAsia"/>
          <w:lang w:val="en-US" w:eastAsia="zh-CN"/>
        </w:rPr>
        <w:tab/>
      </w:r>
    </w:p>
    <w:p w14:paraId="6B0A74F8">
      <w:pPr>
        <w:widowControl/>
        <w:spacing w:after="0" w:line="240" w:lineRule="auto"/>
        <w:ind w:firstLine="420"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本模块的核心目标是针对统计学学生的实习推荐场景，对开源大语言模型进行监督微调（SFT），使其能够稳定输出包含 ["reason", "gap", "suggestion"] 字段的标准 JSON 格式，提供精准的推荐理由、技能缺口分析和背景提升建议。</w:t>
      </w:r>
    </w:p>
    <w:p w14:paraId="0B36435C">
      <w:pPr>
        <w:widowControl/>
        <w:spacing w:after="0" w:line="240" w:lineRule="auto"/>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为了在有限的算力资源下实现 7B~9B 级别大模型的高效微调，本实验全程采用 QLoRA (Quantized Low-Rank Adaptation) 算法：</w:t>
      </w:r>
    </w:p>
    <w:p w14:paraId="3BC2DE3D">
      <w:pPr>
        <w:widowControl/>
        <w:numPr>
          <w:numId w:val="0"/>
        </w:numPr>
        <w:spacing w:after="0" w:line="240" w:lineRule="auto"/>
        <w:ind w:left="360" w:left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(1)</w:t>
      </w:r>
      <w:r>
        <w:rPr>
          <w:rFonts w:hint="eastAsia" w:ascii="宋体" w:hAnsi="宋体" w:eastAsia="宋体" w:cs="宋体"/>
          <w:b w:val="0"/>
          <w:bCs w:val="0"/>
          <w:color w:val="1F1F1F"/>
          <w:kern w:val="0"/>
          <w:sz w:val="24"/>
          <w:szCs w:val="24"/>
          <w14:ligatures w14:val="none"/>
        </w:rPr>
        <w:t>4-bit 基座量化：以 4-bit 精度加载原始大模型权重，大幅降低显存占用。</w:t>
      </w:r>
    </w:p>
    <w:p w14:paraId="018F0F4D">
      <w:pPr>
        <w:widowControl/>
        <w:numPr>
          <w:numId w:val="0"/>
        </w:numPr>
        <w:spacing w:after="0" w:line="240" w:lineRule="auto"/>
        <w:ind w:left="360" w:left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(2)</w:t>
      </w:r>
      <w:r>
        <w:rPr>
          <w:rFonts w:hint="eastAsia" w:ascii="宋体" w:hAnsi="宋体" w:eastAsia="宋体" w:cs="宋体"/>
          <w:b w:val="0"/>
          <w:bCs w:val="0"/>
          <w:color w:val="1F1F1F"/>
          <w:kern w:val="0"/>
          <w:sz w:val="24"/>
          <w:szCs w:val="24"/>
          <w14:ligatures w14:val="none"/>
        </w:rPr>
        <w:t>LoRA 低秩自适应：冻结基座模型主体参数，仅在 Transformer 层中旁路注入少量可训练的低秩矩阵。实验证明，该方法仅需更新不到 0.3% 的总参数量（约 20MB），即可实现与全量微调相近的拟合效果。</w:t>
      </w:r>
    </w:p>
    <w:p w14:paraId="50FAC3EE">
      <w:pPr>
        <w:pStyle w:val="3"/>
        <w:bidi w:val="0"/>
        <w:rPr>
          <w:rFonts w:hint="eastAsia"/>
        </w:rPr>
      </w:pPr>
      <w:bookmarkStart w:id="32" w:name="_Toc29617"/>
      <w:bookmarkStart w:id="33" w:name="_Toc25042"/>
      <w:r>
        <w:rPr>
          <w:rFonts w:hint="eastAsia"/>
        </w:rPr>
        <w:t>二、 核心数据集清洗、特征挖掘与 SFT 训练数据制作</w:t>
      </w:r>
      <w:bookmarkEnd w:id="32"/>
      <w:bookmarkEnd w:id="33"/>
    </w:p>
    <w:p w14:paraId="2AFAD38C">
      <w:pPr>
        <w:pStyle w:val="17"/>
        <w:shd w:val="clear" w:color="auto" w:fill="FFFFFF"/>
        <w:spacing w:after="270" w:afterAutospacing="0"/>
        <w:ind w:firstLine="420"/>
        <w:rPr>
          <w:rFonts w:hint="eastAsia" w:ascii="宋体" w:hAnsi="宋体" w:eastAsia="宋体" w:cs="宋体"/>
          <w:b w:val="0"/>
          <w:bCs w:val="0"/>
          <w:sz w:val="24"/>
          <w:szCs w:val="24"/>
        </w:rPr>
      </w:pPr>
      <w:r>
        <w:rPr>
          <w:rStyle w:val="16"/>
          <w:rFonts w:hint="eastAsia" w:ascii="宋体" w:hAnsi="宋体" w:eastAsia="宋体" w:cs="宋体"/>
          <w:b w:val="0"/>
          <w:bCs w:val="0"/>
          <w:color w:val="1B1B1E"/>
          <w:sz w:val="24"/>
          <w:szCs w:val="24"/>
        </w:rPr>
        <w:t>大模型的微调质量极度依赖于监督微调（SFT）数据集的精准度与逻辑自洽性。为了防止模型在训练中产生“格式幻觉”或给出空洞陈旧的求职建议，本研究设计了一套“原始数据特征挖掘-&gt;</w:t>
      </w:r>
      <w:r>
        <w:rPr>
          <w:rStyle w:val="16"/>
          <w:rFonts w:hint="eastAsia" w:ascii="宋体" w:hAnsi="宋体" w:eastAsia="宋体" w:cs="宋体"/>
          <w:b w:val="0"/>
          <w:bCs w:val="0"/>
          <w:sz w:val="24"/>
          <w:szCs w:val="24"/>
        </w:rPr>
        <w:t>标签驱动用户合成-&gt;推荐算法筛选联动-&gt;专家级 LLM 知识蒸馏”的闭环数据集制作管线，最终合成了包含900条高质量监督样本的</w:t>
      </w:r>
      <w:r>
        <w:rPr>
          <w:rStyle w:val="18"/>
          <w:rFonts w:hint="eastAsia" w:ascii="宋体" w:hAnsi="宋体" w:eastAsia="宋体" w:cs="宋体"/>
          <w:b w:val="0"/>
          <w:bCs w:val="0"/>
          <w:color w:val="2B2D31"/>
          <w:sz w:val="24"/>
          <w:szCs w:val="24"/>
        </w:rPr>
        <w:t>tech_advisor_sft_data.json</w:t>
      </w:r>
      <w:r>
        <w:rPr>
          <w:rStyle w:val="16"/>
          <w:rFonts w:hint="eastAsia" w:ascii="宋体" w:hAnsi="宋体" w:eastAsia="宋体" w:cs="宋体"/>
          <w:b w:val="0"/>
          <w:bCs w:val="0"/>
          <w:sz w:val="24"/>
          <w:szCs w:val="24"/>
        </w:rPr>
        <w:t>数据集。</w:t>
      </w:r>
    </w:p>
    <w:p w14:paraId="739273D4">
      <w:pPr>
        <w:pStyle w:val="4"/>
        <w:bidi w:val="0"/>
        <w:rPr>
          <w:rFonts w:hint="eastAsia"/>
        </w:rPr>
      </w:pPr>
      <w:bookmarkStart w:id="34" w:name="_Toc18282"/>
      <w:bookmarkStart w:id="35" w:name="_Toc26076"/>
      <w:r>
        <w:rPr>
          <w:rFonts w:hint="eastAsia"/>
          <w:lang w:val="en-US" w:eastAsia="zh-CN"/>
        </w:rPr>
        <w:t>(1)</w:t>
      </w:r>
      <w:r>
        <w:rPr>
          <w:rFonts w:hint="eastAsia"/>
        </w:rPr>
        <w:t>原始岗位数据清洗与特征库构建</w:t>
      </w:r>
      <w:bookmarkEnd w:id="34"/>
      <w:bookmarkEnd w:id="35"/>
    </w:p>
    <w:p w14:paraId="54728147">
      <w:pPr>
        <w:pStyle w:val="17"/>
        <w:shd w:val="clear" w:color="auto" w:fill="FFFFFF"/>
        <w:spacing w:after="270"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首先，原始爬取的招聘数据中存在文本噪音大、字段缺失等问题。为了提炼出供算法与模型读取的硬技能指标，我们开展了以下特征工程：</w:t>
      </w:r>
    </w:p>
    <w:p w14:paraId="47D664F9">
      <w:pPr>
        <w:pStyle w:val="17"/>
        <w:shd w:val="clear" w:color="auto" w:fill="FFFFFF"/>
        <w:spacing w:before="0" w:beforeAutospacing="0" w:after="105" w:afterAutospacing="0"/>
        <w:ind w:firstLine="36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技术栈词典构建（</w:t>
      </w:r>
      <w:r>
        <w:rPr>
          <w:rStyle w:val="18"/>
          <w:rFonts w:hint="eastAsia" w:ascii="宋体" w:hAnsi="宋体" w:eastAsia="宋体" w:cs="宋体"/>
          <w:b w:val="0"/>
          <w:bCs w:val="0"/>
          <w:color w:val="2B2D31"/>
          <w:sz w:val="24"/>
          <w:szCs w:val="24"/>
        </w:rPr>
        <w:t>tech_skills.json</w:t>
      </w:r>
      <w:r>
        <w:rPr>
          <w:rStyle w:val="16"/>
          <w:rFonts w:hint="eastAsia" w:ascii="宋体" w:hAnsi="宋体" w:eastAsia="宋体" w:cs="宋体"/>
          <w:b w:val="0"/>
          <w:bCs w:val="0"/>
          <w:color w:val="1B1B1E"/>
          <w:sz w:val="24"/>
          <w:szCs w:val="24"/>
        </w:rPr>
        <w:t>）：编写正则清洗脚本，对岗位职责中的英文短语及专有名词（如 SQL, Python, Tableau 等）进行边界提取。通过高频词统计并经人工校验后，构建了包含 10 余种核心数据科学技术栈的结构化技能库，确保后续人岗匹配的硬技能特征对齐。</w:t>
      </w:r>
    </w:p>
    <w:p w14:paraId="06EC78AE">
      <w:pPr>
        <w:pStyle w:val="17"/>
        <w:shd w:val="clear" w:color="auto" w:fill="FFFFFF"/>
        <w:spacing w:before="0" w:beforeAutospacing="0" w:after="105" w:afterAutospacing="0"/>
        <w:ind w:firstLine="36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专业同义词映射表（</w:t>
      </w:r>
      <w:r>
        <w:rPr>
          <w:rStyle w:val="18"/>
          <w:rFonts w:hint="eastAsia" w:ascii="宋体" w:hAnsi="宋体" w:eastAsia="宋体" w:cs="宋体"/>
          <w:b w:val="0"/>
          <w:bCs w:val="0"/>
          <w:color w:val="2B2D31"/>
          <w:sz w:val="24"/>
          <w:szCs w:val="24"/>
        </w:rPr>
        <w:t>MAJOR_SYNONYMS</w:t>
      </w:r>
      <w:r>
        <w:rPr>
          <w:rStyle w:val="16"/>
          <w:rFonts w:hint="eastAsia" w:ascii="宋体" w:hAnsi="宋体" w:eastAsia="宋体" w:cs="宋体"/>
          <w:b w:val="0"/>
          <w:bCs w:val="0"/>
          <w:color w:val="1B1B1E"/>
          <w:sz w:val="24"/>
          <w:szCs w:val="24"/>
        </w:rPr>
        <w:t>）：由于岗位要求和学生专业的表述存在多样性（如“统计学”与“应用统计学”），我们设计了覆盖“统计学”、“数学”、“计算机”、“经济金融”与“管理与商业分析”5 大核心学科大类的层级映射表，以支持多对多的模糊匹配，提高系统鲁棒性。</w:t>
      </w:r>
    </w:p>
    <w:p w14:paraId="38DE64FB">
      <w:pPr>
        <w:pStyle w:val="4"/>
        <w:bidi w:val="0"/>
        <w:rPr>
          <w:rFonts w:hint="eastAsia"/>
        </w:rPr>
      </w:pPr>
      <w:bookmarkStart w:id="36" w:name="_Toc4678"/>
      <w:bookmarkStart w:id="37" w:name="_Toc10251"/>
      <w:r>
        <w:rPr>
          <w:rFonts w:hint="eastAsia"/>
          <w:lang w:val="en-US" w:eastAsia="zh-CN"/>
        </w:rPr>
        <w:t>(2)</w:t>
      </w:r>
      <w:r>
        <w:rPr>
          <w:rFonts w:hint="eastAsia"/>
        </w:rPr>
        <w:t>标签驱动的多样化虚拟求职者画像合成</w:t>
      </w:r>
      <w:bookmarkEnd w:id="36"/>
      <w:bookmarkEnd w:id="37"/>
    </w:p>
    <w:p w14:paraId="46D4CCBF">
      <w:pPr>
        <w:pStyle w:val="17"/>
        <w:shd w:val="clear" w:color="auto" w:fill="FFFFFF"/>
        <w:spacing w:after="270"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为了模拟真实且丰富多样的求职场景，本研究编写了 </w:t>
      </w:r>
      <w:r>
        <w:rPr>
          <w:rStyle w:val="18"/>
          <w:rFonts w:hint="eastAsia" w:ascii="宋体" w:hAnsi="宋体" w:eastAsia="宋体" w:cs="宋体"/>
          <w:b w:val="0"/>
          <w:bCs w:val="0"/>
          <w:color w:val="2B2D31"/>
          <w:sz w:val="24"/>
          <w:szCs w:val="24"/>
        </w:rPr>
        <w:t>generate_mock_users.py</w:t>
      </w:r>
      <w:r>
        <w:rPr>
          <w:rStyle w:val="16"/>
          <w:rFonts w:hint="eastAsia" w:ascii="宋体" w:hAnsi="宋体" w:eastAsia="宋体" w:cs="宋体"/>
          <w:b w:val="0"/>
          <w:bCs w:val="0"/>
          <w:color w:val="1B1B1E"/>
          <w:sz w:val="24"/>
          <w:szCs w:val="24"/>
        </w:rPr>
        <w:t> 脚本，基于目前高校统计学毕业生的实际就业去向，设计了 7 大主流求职方向（包含：数据分析师、算法建模岗、商业分析（BA）、BI报表工程师、风控数据分析师、数据运营专员以及生物统计分析师）。</w:t>
      </w:r>
    </w:p>
    <w:p w14:paraId="60BF1761">
      <w:pPr>
        <w:pStyle w:val="17"/>
        <w:shd w:val="clear" w:color="auto" w:fill="FFFFFF"/>
        <w:spacing w:after="270"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通过在 </w:t>
      </w:r>
      <w:r>
        <w:rPr>
          <w:rStyle w:val="18"/>
          <w:rFonts w:hint="eastAsia" w:ascii="宋体" w:hAnsi="宋体" w:eastAsia="宋体" w:cs="宋体"/>
          <w:b w:val="0"/>
          <w:bCs w:val="0"/>
          <w:color w:val="2B2D31"/>
          <w:sz w:val="24"/>
          <w:szCs w:val="24"/>
        </w:rPr>
        <w:t>tech_skills.json</w:t>
      </w:r>
      <w:r>
        <w:rPr>
          <w:rStyle w:val="16"/>
          <w:rFonts w:hint="eastAsia" w:ascii="宋体" w:hAnsi="宋体" w:eastAsia="宋体" w:cs="宋体"/>
          <w:b w:val="0"/>
          <w:bCs w:val="0"/>
          <w:color w:val="1B1B1E"/>
          <w:sz w:val="24"/>
          <w:szCs w:val="24"/>
        </w:rPr>
        <w:t> 特征库中进行动态随机抽样，我们系统性地生成了 </w:t>
      </w:r>
      <w:r>
        <w:rPr>
          <w:rStyle w:val="16"/>
          <w:rFonts w:hint="eastAsia" w:ascii="宋体" w:hAnsi="宋体" w:eastAsia="宋体" w:cs="宋体"/>
          <w:b w:val="0"/>
          <w:bCs w:val="0"/>
          <w:sz w:val="24"/>
          <w:szCs w:val="24"/>
        </w:rPr>
        <w:t>300个在专业背景、学历水平（本科/硕士）、掌握技能、意向城市及偏好方向上各不相同的虚拟求职者画像。每个画像的职业偏好均与其意向方向逻辑自洽，为后续微调提供了极佳的特征多样性。</w:t>
      </w:r>
    </w:p>
    <w:p w14:paraId="1DF0D216">
      <w:pPr>
        <w:pStyle w:val="4"/>
        <w:bidi w:val="0"/>
        <w:rPr>
          <w:rFonts w:hint="eastAsia"/>
        </w:rPr>
      </w:pPr>
      <w:bookmarkStart w:id="38" w:name="_Toc17932"/>
      <w:bookmarkStart w:id="39" w:name="_Toc11912"/>
      <w:r>
        <w:rPr>
          <w:rFonts w:hint="eastAsia"/>
          <w:lang w:val="en-US" w:eastAsia="zh-CN"/>
        </w:rPr>
        <w:t>(3)</w:t>
      </w:r>
      <w:r>
        <w:rPr>
          <w:rFonts w:hint="eastAsia"/>
        </w:rPr>
        <w:t>推荐算法联动与 Top-3 岗位智能筛选</w:t>
      </w:r>
      <w:bookmarkEnd w:id="38"/>
      <w:bookmarkEnd w:id="39"/>
    </w:p>
    <w:p w14:paraId="3AB85468">
      <w:pPr>
        <w:pStyle w:val="17"/>
        <w:shd w:val="clear" w:color="auto" w:fill="FFFFFF"/>
        <w:spacing w:after="270"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如果将随机生成的求职者与岗位进行无脑配对并送去训练，会导致大模型被迫解释“为何将一个只会 Excel 的本科生推荐去研发博士算法岗”，从而造成模型生成严重的幻觉。</w:t>
      </w:r>
    </w:p>
    <w:p w14:paraId="41CE4170">
      <w:pPr>
        <w:pStyle w:val="17"/>
        <w:shd w:val="clear" w:color="auto" w:fill="FFFFFF"/>
        <w:spacing w:after="270"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为了确保训练集在人岗对偶上的高度逻辑自洽性，我们利用第一步中写好的人岗推荐算法（结合 50% 显式业务规则匹配 + 50% 语义向量表示与全局 Min-Max 归一化），为上述300</w:t>
      </w:r>
      <w:r>
        <w:rPr>
          <w:rStyle w:val="16"/>
          <w:rFonts w:hint="eastAsia" w:ascii="宋体" w:hAnsi="宋体" w:eastAsia="宋体" w:cs="宋体"/>
          <w:b w:val="0"/>
          <w:bCs w:val="0"/>
          <w:sz w:val="24"/>
          <w:szCs w:val="24"/>
        </w:rPr>
        <w:t>名虚拟求职者在岗位库中分别计算并筛选出最匹配的 Top-3 最佳推荐岗位。通过这种“算法先筛，大模型再解释”的工程设计，最终产出了 </w:t>
      </w:r>
      <w:r>
        <w:rPr>
          <w:rStyle w:val="19"/>
          <w:rFonts w:hint="eastAsia" w:ascii="宋体" w:hAnsi="宋体" w:eastAsia="宋体" w:cs="宋体"/>
          <w:b w:val="0"/>
          <w:bCs w:val="0"/>
          <w:sz w:val="24"/>
          <w:szCs w:val="24"/>
        </w:rPr>
        <w:t>300 ×3  =900 条</w:t>
      </w:r>
      <w:r>
        <w:rPr>
          <w:rStyle w:val="16"/>
          <w:rFonts w:hint="eastAsia" w:ascii="宋体" w:hAnsi="宋体" w:eastAsia="宋体" w:cs="宋体"/>
          <w:b w:val="0"/>
          <w:bCs w:val="0"/>
          <w:sz w:val="24"/>
          <w:szCs w:val="24"/>
        </w:rPr>
        <w:t>具备真实匹配逻辑的人岗对偶数据，从源头上规避了脏数据对微调的干扰。</w:t>
      </w:r>
    </w:p>
    <w:p w14:paraId="20B14B84">
      <w:pPr>
        <w:pStyle w:val="4"/>
        <w:bidi w:val="0"/>
        <w:rPr>
          <w:rFonts w:hint="eastAsia"/>
        </w:rPr>
      </w:pPr>
      <w:bookmarkStart w:id="40" w:name="_Toc31321"/>
      <w:bookmarkStart w:id="41" w:name="_Toc19494"/>
      <w:r>
        <w:rPr>
          <w:rFonts w:hint="eastAsia"/>
          <w:lang w:val="en-US" w:eastAsia="zh-CN"/>
        </w:rPr>
        <w:t>(4)</w:t>
      </w:r>
      <w:r>
        <w:rPr>
          <w:rFonts w:hint="eastAsia"/>
        </w:rPr>
        <w:t>大模型专家知识蒸馏与 SFT 格式导出</w:t>
      </w:r>
      <w:bookmarkEnd w:id="40"/>
      <w:bookmarkEnd w:id="41"/>
    </w:p>
    <w:p w14:paraId="333C11AE">
      <w:pPr>
        <w:pStyle w:val="17"/>
        <w:shd w:val="clear" w:color="auto" w:fill="FFFFFF"/>
        <w:spacing w:after="270"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在获得900</w:t>
      </w:r>
      <w:r>
        <w:rPr>
          <w:rStyle w:val="16"/>
          <w:rFonts w:hint="eastAsia" w:ascii="宋体" w:hAnsi="宋体" w:eastAsia="宋体" w:cs="宋体"/>
          <w:b w:val="0"/>
          <w:bCs w:val="0"/>
          <w:sz w:val="24"/>
          <w:szCs w:val="24"/>
        </w:rPr>
        <w:t>条逻辑自洽的匹配输入数据后，我们设计了标准的 Alpaca 格式指令模板，并调用目前先进的商业大模型（如 DeepSeek-V3 / GPT-4o）API 进行专家级职业规划知识蒸馏：</w:t>
      </w:r>
    </w:p>
    <w:p w14:paraId="227F17F4">
      <w:pPr>
        <w:pStyle w:val="17"/>
        <w:shd w:val="clear" w:color="auto" w:fill="FFFFFF"/>
        <w:spacing w:before="0" w:beforeAutospacing="0" w:after="105"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提示词强约束设计：在系统（System）与用户（User）提示词中加入中英文双重硬约束，要求大模型必须针对输入的匹配结果，生成精准的推荐理由、技能缺口分析和背景提升建议。</w:t>
      </w:r>
    </w:p>
    <w:p w14:paraId="654A6EA3">
      <w:pPr>
        <w:pStyle w:val="17"/>
        <w:shd w:val="clear" w:color="auto" w:fill="FFFFFF"/>
        <w:spacing w:before="0" w:beforeAutospacing="0" w:after="105" w:afterAutospacing="0"/>
        <w:ind w:firstLine="420"/>
        <w:rPr>
          <w:rFonts w:hint="eastAsia" w:ascii="宋体" w:hAnsi="宋体" w:eastAsia="宋体" w:cs="宋体"/>
          <w:b w:val="0"/>
          <w:bCs w:val="0"/>
          <w:color w:val="1B1B1E"/>
          <w:sz w:val="24"/>
          <w:szCs w:val="24"/>
        </w:rPr>
      </w:pPr>
      <w:r>
        <w:rPr>
          <w:rStyle w:val="16"/>
          <w:rFonts w:hint="eastAsia" w:ascii="宋体" w:hAnsi="宋体" w:eastAsia="宋体" w:cs="宋体"/>
          <w:b w:val="0"/>
          <w:bCs w:val="0"/>
          <w:color w:val="1B1B1E"/>
          <w:sz w:val="24"/>
          <w:szCs w:val="24"/>
        </w:rPr>
        <w:t>格式幻觉抑制：严格控制模型的输出格式，限制其只输出标准 JSON。同时，强制规定 JSON 的键（Key）保持英文标准字段（即 </w:t>
      </w:r>
      <w:r>
        <w:rPr>
          <w:rStyle w:val="18"/>
          <w:rFonts w:hint="eastAsia" w:ascii="宋体" w:hAnsi="宋体" w:eastAsia="宋体" w:cs="宋体"/>
          <w:b w:val="0"/>
          <w:bCs w:val="0"/>
          <w:color w:val="2B2D31"/>
          <w:sz w:val="24"/>
          <w:szCs w:val="24"/>
        </w:rPr>
        <w:t>["reason", "gap", "suggestion"]</w:t>
      </w:r>
      <w:r>
        <w:rPr>
          <w:rStyle w:val="16"/>
          <w:rFonts w:hint="eastAsia" w:ascii="宋体" w:hAnsi="宋体" w:eastAsia="宋体" w:cs="宋体"/>
          <w:b w:val="0"/>
          <w:bCs w:val="0"/>
          <w:color w:val="1B1B1E"/>
          <w:sz w:val="24"/>
          <w:szCs w:val="24"/>
        </w:rPr>
        <w:t>），而所有的值（Value）必须采用专业、流畅且详实的中文进行描述。</w:t>
      </w:r>
    </w:p>
    <w:p w14:paraId="5314CB33">
      <w:pPr>
        <w:pStyle w:val="17"/>
        <w:shd w:val="clear" w:color="auto" w:fill="FFFFFF"/>
        <w:spacing w:before="0" w:beforeAutospacing="0" w:after="105" w:afterAutospacing="0"/>
        <w:ind w:firstLine="420"/>
        <w:rPr>
          <w:rFonts w:hint="eastAsia" w:ascii="宋体" w:hAnsi="宋体" w:eastAsia="宋体" w:cs="宋体"/>
          <w:b w:val="0"/>
          <w:bCs w:val="0"/>
          <w:color w:val="1F1F1F"/>
          <w:kern w:val="0"/>
          <w:sz w:val="24"/>
          <w:szCs w:val="24"/>
          <w14:ligatures w14:val="none"/>
        </w:rPr>
      </w:pPr>
      <w:r>
        <w:rPr>
          <w:rStyle w:val="16"/>
          <w:rFonts w:hint="eastAsia" w:ascii="宋体" w:hAnsi="宋体" w:eastAsia="宋体" w:cs="宋体"/>
          <w:b w:val="0"/>
          <w:bCs w:val="0"/>
          <w:color w:val="1B1B1E"/>
          <w:sz w:val="24"/>
          <w:szCs w:val="24"/>
        </w:rPr>
        <w:t>经过 API 批量生成、自动化格式校验与格式过滤，最终导出生成了包含 900</w:t>
      </w:r>
      <w:r>
        <w:rPr>
          <w:rStyle w:val="16"/>
          <w:rFonts w:hint="eastAsia" w:ascii="宋体" w:hAnsi="宋体" w:eastAsia="宋体" w:cs="宋体"/>
          <w:b w:val="0"/>
          <w:bCs w:val="0"/>
          <w:sz w:val="24"/>
          <w:szCs w:val="24"/>
        </w:rPr>
        <w:t>条格式极度纯净、匹配逻辑合理、指导意见专业的 </w:t>
      </w:r>
      <w:r>
        <w:rPr>
          <w:rStyle w:val="18"/>
          <w:rFonts w:hint="eastAsia" w:ascii="宋体" w:hAnsi="宋体" w:eastAsia="宋体" w:cs="宋体"/>
          <w:b w:val="0"/>
          <w:bCs w:val="0"/>
          <w:color w:val="2B2D31"/>
          <w:sz w:val="24"/>
          <w:szCs w:val="24"/>
        </w:rPr>
        <w:t>tech_advisor_sft_data.json</w:t>
      </w:r>
      <w:r>
        <w:rPr>
          <w:rStyle w:val="16"/>
          <w:rFonts w:hint="eastAsia" w:ascii="宋体" w:hAnsi="宋体" w:eastAsia="宋体" w:cs="宋体"/>
          <w:b w:val="0"/>
          <w:bCs w:val="0"/>
          <w:sz w:val="24"/>
          <w:szCs w:val="24"/>
        </w:rPr>
        <w:t> 数据集，为接下来的大模型微调提供了坚实的数据基础。</w:t>
      </w:r>
    </w:p>
    <w:p w14:paraId="20CCCF60">
      <w:pPr>
        <w:pStyle w:val="3"/>
        <w:bidi w:val="0"/>
        <w:rPr>
          <w:rFonts w:hint="eastAsia"/>
        </w:rPr>
      </w:pPr>
      <w:bookmarkStart w:id="42" w:name="_Toc2184"/>
      <w:bookmarkStart w:id="43" w:name="_Toc22391"/>
      <w:r>
        <w:rPr>
          <w:rFonts w:hint="eastAsia"/>
        </w:rPr>
        <w:t>三</w:t>
      </w:r>
      <w:r>
        <w:rPr>
          <w:rFonts w:hint="eastAsia"/>
          <w:lang w:eastAsia="zh-CN"/>
        </w:rPr>
        <w:t>、</w:t>
      </w:r>
      <w:r>
        <w:rPr>
          <w:rFonts w:hint="eastAsia"/>
        </w:rPr>
        <w:t>数据集划分与实验基准设定</w:t>
      </w:r>
      <w:bookmarkEnd w:id="42"/>
      <w:bookmarkEnd w:id="43"/>
    </w:p>
    <w:p w14:paraId="6C3C4B12">
      <w:pPr>
        <w:widowControl/>
        <w:spacing w:after="0" w:line="240" w:lineRule="auto"/>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为了严谨地验证模型的泛化能力与真实表现，避免“过拟合”导致的结果失真，我们在训练前对构建好的 tech_advisor_sft_data.json 数据集进行了严格的切分：</w:t>
      </w:r>
    </w:p>
    <w:p w14:paraId="6018F064">
      <w:pPr>
        <w:widowControl/>
        <w:numPr>
          <w:numId w:val="0"/>
        </w:numPr>
        <w:spacing w:after="0" w:line="240" w:lineRule="auto"/>
        <w:ind w:firstLine="240" w:firstLineChars="10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(1)</w:t>
      </w:r>
      <w:r>
        <w:rPr>
          <w:rFonts w:hint="eastAsia" w:ascii="宋体" w:hAnsi="宋体" w:eastAsia="宋体" w:cs="宋体"/>
          <w:b w:val="0"/>
          <w:bCs w:val="0"/>
          <w:color w:val="1F1F1F"/>
          <w:kern w:val="0"/>
          <w:sz w:val="24"/>
          <w:szCs w:val="24"/>
          <w14:ligatures w14:val="none"/>
        </w:rPr>
        <w:t>数据总量：900 条高质量的“指令-输入-输出”监督样本。</w:t>
      </w:r>
    </w:p>
    <w:p w14:paraId="37CB1A19">
      <w:pPr>
        <w:widowControl/>
        <w:numPr>
          <w:numId w:val="0"/>
        </w:numPr>
        <w:spacing w:after="0" w:line="240" w:lineRule="auto"/>
        <w:ind w:firstLine="240" w:firstLineChars="10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(2)</w:t>
      </w:r>
      <w:r>
        <w:rPr>
          <w:rFonts w:hint="eastAsia" w:ascii="宋体" w:hAnsi="宋体" w:eastAsia="宋体" w:cs="宋体"/>
          <w:b w:val="0"/>
          <w:bCs w:val="0"/>
          <w:color w:val="1F1F1F"/>
          <w:kern w:val="0"/>
          <w:sz w:val="24"/>
          <w:szCs w:val="24"/>
          <w14:ligatures w14:val="none"/>
        </w:rPr>
        <w:t>训练集 (Training Set)：划分 810 条 (90%) 样本用于模型的参数更新与拟合。</w:t>
      </w:r>
    </w:p>
    <w:p w14:paraId="17FA34F1">
      <w:pPr>
        <w:widowControl/>
        <w:numPr>
          <w:numId w:val="0"/>
        </w:numPr>
        <w:spacing w:after="0" w:line="240" w:lineRule="auto"/>
        <w:ind w:firstLine="240" w:firstLineChars="10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(3)</w:t>
      </w:r>
      <w:r>
        <w:rPr>
          <w:rFonts w:hint="eastAsia" w:ascii="宋体" w:hAnsi="宋体" w:eastAsia="宋体" w:cs="宋体"/>
          <w:b w:val="0"/>
          <w:bCs w:val="0"/>
          <w:color w:val="1F1F1F"/>
          <w:kern w:val="0"/>
          <w:sz w:val="24"/>
          <w:szCs w:val="24"/>
          <w14:ligatures w14:val="none"/>
        </w:rPr>
        <w:t>测试集 (Test Set)：独立预留 90 条 (10%) 样本，该部分数据在训练阶段对模型完全不可见，仅用于最终生成阶段的客观质量评估。</w:t>
      </w:r>
      <w:bookmarkStart w:id="44" w:name="_Toc20199"/>
    </w:p>
    <w:p w14:paraId="0E092A8E">
      <w:pPr>
        <w:pStyle w:val="3"/>
        <w:bidi w:val="0"/>
        <w:rPr>
          <w:rFonts w:hint="eastAsia"/>
        </w:rPr>
      </w:pPr>
      <w:bookmarkStart w:id="45" w:name="_Toc25268"/>
      <w:r>
        <w:rPr>
          <w:rFonts w:hint="eastAsia"/>
          <w:lang w:val="en-US" w:eastAsia="zh-CN"/>
        </w:rPr>
        <w:t>四、</w:t>
      </w:r>
      <w:r>
        <w:rPr>
          <w:rFonts w:hint="eastAsia"/>
        </w:rPr>
        <w:t>实验基准模型选取</w:t>
      </w:r>
      <w:bookmarkEnd w:id="44"/>
      <w:bookmarkEnd w:id="45"/>
    </w:p>
    <w:p w14:paraId="10B24861">
      <w:pPr>
        <w:widowControl/>
        <w:spacing w:after="0" w:line="240" w:lineRule="auto"/>
        <w:ind w:firstLine="420"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为探究不同底层架构对特定任务的适应性，我们选取了目前最具代表性的三款开源基座模型进行横向对比：Qwen2-7B、LLaMA3-8B 与 GLM-4-9B。三者均在同一组超参数下进行训练（Epoch=3, 学习率=2e-4, 批次大小=8），以保证控制变量的公平性。</w:t>
      </w:r>
    </w:p>
    <w:p w14:paraId="3C7B5F6B">
      <w:pPr>
        <w:jc w:val="center"/>
      </w:pPr>
      <w:r>
        <w:rPr>
          <w:rFonts w:hint="eastAsia" w:ascii="Times New Roman" w:hAnsi="Times New Roman" w:eastAsia="宋体"/>
          <w:b/>
          <w:sz w:val="22"/>
          <w:lang w:val="en-US" w:eastAsia="zh-CN"/>
        </w:rPr>
        <w:t xml:space="preserve"> </w:t>
      </w:r>
      <w:r>
        <w:rPr>
          <w:rFonts w:ascii="Times New Roman" w:hAnsi="Times New Roman" w:eastAsia="宋体"/>
          <w:b/>
          <w:sz w:val="22"/>
        </w:rPr>
        <w:t>表</w:t>
      </w:r>
      <w:r>
        <w:rPr>
          <w:rFonts w:hint="eastAsia" w:ascii="Times New Roman" w:hAnsi="Times New Roman" w:eastAsia="宋体"/>
          <w:b/>
          <w:sz w:val="22"/>
          <w:lang w:val="en-US" w:eastAsia="zh-CN"/>
        </w:rPr>
        <w:t>1</w:t>
      </w:r>
      <w:r>
        <w:rPr>
          <w:rFonts w:ascii="Times New Roman" w:hAnsi="Times New Roman" w:eastAsia="宋体"/>
          <w:b/>
          <w:sz w:val="22"/>
        </w:rPr>
        <w:t xml:space="preserve">  Training Setup Comparison</w:t>
      </w:r>
    </w:p>
    <w:tbl>
      <w:tblPr>
        <w:tblStyle w:val="11"/>
        <w:tblW w:w="0" w:type="auto"/>
        <w:jc w:val="center"/>
        <w:tblLayout w:type="autofit"/>
        <w:tblCellMar>
          <w:top w:w="0" w:type="dxa"/>
          <w:left w:w="108" w:type="dxa"/>
          <w:bottom w:w="0" w:type="dxa"/>
          <w:right w:w="108" w:type="dxa"/>
        </w:tblCellMar>
      </w:tblPr>
      <w:tblGrid>
        <w:gridCol w:w="2448"/>
        <w:gridCol w:w="2448"/>
        <w:gridCol w:w="2448"/>
        <w:gridCol w:w="2448"/>
      </w:tblGrid>
      <w:tr w14:paraId="268A2EA2">
        <w:tblPrEx>
          <w:tblCellMar>
            <w:top w:w="0" w:type="dxa"/>
            <w:left w:w="108" w:type="dxa"/>
            <w:bottom w:w="0" w:type="dxa"/>
            <w:right w:w="108" w:type="dxa"/>
          </w:tblCellMar>
        </w:tblPrEx>
        <w:trPr>
          <w:jc w:val="center"/>
        </w:trPr>
        <w:tc>
          <w:tcPr>
            <w:tcW w:w="2448" w:type="dxa"/>
            <w:tcBorders>
              <w:top w:val="single" w:color="000000" w:sz="12" w:space="0"/>
              <w:left w:val="nil"/>
              <w:bottom w:val="single" w:color="000000" w:sz="8" w:space="0"/>
              <w:right w:val="nil"/>
            </w:tcBorders>
            <w:shd w:val="clear" w:color="auto" w:fill="F2F2F2"/>
            <w:vAlign w:val="center"/>
          </w:tcPr>
          <w:p w14:paraId="607C4E2B">
            <w:pPr>
              <w:jc w:val="center"/>
            </w:pPr>
            <w:r>
              <w:rPr>
                <w:rFonts w:ascii="Times New Roman" w:hAnsi="Times New Roman" w:eastAsia="宋体"/>
                <w:b/>
                <w:sz w:val="21"/>
              </w:rPr>
              <w:t>Setting</w:t>
            </w:r>
          </w:p>
        </w:tc>
        <w:tc>
          <w:tcPr>
            <w:tcW w:w="2448" w:type="dxa"/>
            <w:tcBorders>
              <w:top w:val="single" w:color="000000" w:sz="12" w:space="0"/>
              <w:left w:val="nil"/>
              <w:bottom w:val="single" w:color="000000" w:sz="8" w:space="0"/>
              <w:right w:val="nil"/>
            </w:tcBorders>
            <w:shd w:val="clear" w:color="auto" w:fill="F2F2F2"/>
            <w:vAlign w:val="center"/>
          </w:tcPr>
          <w:p w14:paraId="4728ABD5">
            <w:pPr>
              <w:jc w:val="center"/>
            </w:pPr>
            <w:r>
              <w:rPr>
                <w:rFonts w:ascii="Times New Roman" w:hAnsi="Times New Roman" w:eastAsia="宋体"/>
                <w:b/>
                <w:sz w:val="21"/>
              </w:rPr>
              <w:t>Qwen2-7B</w:t>
            </w:r>
          </w:p>
        </w:tc>
        <w:tc>
          <w:tcPr>
            <w:tcW w:w="2448" w:type="dxa"/>
            <w:tcBorders>
              <w:top w:val="single" w:color="000000" w:sz="12" w:space="0"/>
              <w:left w:val="nil"/>
              <w:bottom w:val="single" w:color="000000" w:sz="8" w:space="0"/>
              <w:right w:val="nil"/>
            </w:tcBorders>
            <w:shd w:val="clear" w:color="auto" w:fill="F2F2F2"/>
            <w:vAlign w:val="center"/>
          </w:tcPr>
          <w:p w14:paraId="32B3BD50">
            <w:pPr>
              <w:jc w:val="center"/>
            </w:pPr>
            <w:r>
              <w:rPr>
                <w:rFonts w:ascii="Times New Roman" w:hAnsi="Times New Roman" w:eastAsia="宋体"/>
                <w:b/>
                <w:sz w:val="21"/>
              </w:rPr>
              <w:t>LLaMA3-8B</w:t>
            </w:r>
          </w:p>
        </w:tc>
        <w:tc>
          <w:tcPr>
            <w:tcW w:w="2448" w:type="dxa"/>
            <w:tcBorders>
              <w:top w:val="single" w:color="000000" w:sz="12" w:space="0"/>
              <w:left w:val="nil"/>
              <w:bottom w:val="single" w:color="000000" w:sz="8" w:space="0"/>
              <w:right w:val="nil"/>
            </w:tcBorders>
            <w:shd w:val="clear" w:color="auto" w:fill="F2F2F2"/>
            <w:vAlign w:val="center"/>
          </w:tcPr>
          <w:p w14:paraId="6A77F353">
            <w:pPr>
              <w:jc w:val="center"/>
            </w:pPr>
            <w:r>
              <w:rPr>
                <w:rFonts w:ascii="Times New Roman" w:hAnsi="Times New Roman" w:eastAsia="宋体"/>
                <w:b/>
                <w:sz w:val="21"/>
              </w:rPr>
              <w:t>GLM4-9B</w:t>
            </w:r>
          </w:p>
        </w:tc>
      </w:tr>
      <w:tr w14:paraId="673DB252">
        <w:tblPrEx>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0002448E">
            <w:pPr>
              <w:jc w:val="left"/>
            </w:pPr>
            <w:r>
              <w:rPr>
                <w:rFonts w:ascii="Times New Roman" w:hAnsi="Times New Roman" w:eastAsia="宋体"/>
                <w:b w:val="0"/>
                <w:sz w:val="21"/>
              </w:rPr>
              <w:t>Model Series</w:t>
            </w:r>
          </w:p>
        </w:tc>
        <w:tc>
          <w:tcPr>
            <w:tcW w:w="2448" w:type="dxa"/>
            <w:tcBorders>
              <w:top w:val="nil"/>
              <w:left w:val="nil"/>
              <w:bottom w:val="nil"/>
              <w:right w:val="nil"/>
            </w:tcBorders>
            <w:vAlign w:val="center"/>
          </w:tcPr>
          <w:p w14:paraId="0960DB8B">
            <w:pPr>
              <w:jc w:val="center"/>
            </w:pPr>
            <w:r>
              <w:rPr>
                <w:rFonts w:ascii="Times New Roman" w:hAnsi="Times New Roman" w:eastAsia="宋体"/>
                <w:b w:val="0"/>
                <w:sz w:val="21"/>
              </w:rPr>
              <w:t>Qwen2</w:t>
            </w:r>
          </w:p>
        </w:tc>
        <w:tc>
          <w:tcPr>
            <w:tcW w:w="2448" w:type="dxa"/>
            <w:tcBorders>
              <w:top w:val="nil"/>
              <w:left w:val="nil"/>
              <w:bottom w:val="nil"/>
              <w:right w:val="nil"/>
            </w:tcBorders>
            <w:vAlign w:val="center"/>
          </w:tcPr>
          <w:p w14:paraId="752342B5">
            <w:pPr>
              <w:jc w:val="center"/>
            </w:pPr>
            <w:r>
              <w:rPr>
                <w:rFonts w:ascii="Times New Roman" w:hAnsi="Times New Roman" w:eastAsia="宋体"/>
                <w:b w:val="0"/>
                <w:sz w:val="21"/>
              </w:rPr>
              <w:t>LLaMA3</w:t>
            </w:r>
          </w:p>
        </w:tc>
        <w:tc>
          <w:tcPr>
            <w:tcW w:w="2448" w:type="dxa"/>
            <w:tcBorders>
              <w:top w:val="nil"/>
              <w:left w:val="nil"/>
              <w:bottom w:val="nil"/>
              <w:right w:val="nil"/>
            </w:tcBorders>
            <w:vAlign w:val="center"/>
          </w:tcPr>
          <w:p w14:paraId="05297EEE">
            <w:pPr>
              <w:jc w:val="center"/>
            </w:pPr>
            <w:r>
              <w:rPr>
                <w:rFonts w:ascii="Times New Roman" w:hAnsi="Times New Roman" w:eastAsia="宋体"/>
                <w:b w:val="0"/>
                <w:sz w:val="21"/>
              </w:rPr>
              <w:t>GLM4</w:t>
            </w:r>
          </w:p>
        </w:tc>
      </w:tr>
      <w:tr w14:paraId="7F53D560">
        <w:tblPrEx>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3B7E33A9">
            <w:pPr>
              <w:jc w:val="left"/>
            </w:pPr>
            <w:r>
              <w:rPr>
                <w:rFonts w:ascii="Times New Roman" w:hAnsi="Times New Roman" w:eastAsia="宋体"/>
                <w:b w:val="0"/>
                <w:sz w:val="21"/>
              </w:rPr>
              <w:t>Model Size</w:t>
            </w:r>
          </w:p>
        </w:tc>
        <w:tc>
          <w:tcPr>
            <w:tcW w:w="2448" w:type="dxa"/>
            <w:tcBorders>
              <w:top w:val="nil"/>
              <w:left w:val="nil"/>
              <w:bottom w:val="nil"/>
              <w:right w:val="nil"/>
            </w:tcBorders>
            <w:vAlign w:val="center"/>
          </w:tcPr>
          <w:p w14:paraId="482C9EE7">
            <w:pPr>
              <w:jc w:val="center"/>
            </w:pPr>
            <w:r>
              <w:rPr>
                <w:rFonts w:ascii="Times New Roman" w:hAnsi="Times New Roman" w:eastAsia="宋体"/>
                <w:b w:val="0"/>
                <w:sz w:val="21"/>
              </w:rPr>
              <w:t>7.64B</w:t>
            </w:r>
          </w:p>
        </w:tc>
        <w:tc>
          <w:tcPr>
            <w:tcW w:w="2448" w:type="dxa"/>
            <w:tcBorders>
              <w:top w:val="nil"/>
              <w:left w:val="nil"/>
              <w:bottom w:val="nil"/>
              <w:right w:val="nil"/>
            </w:tcBorders>
            <w:vAlign w:val="center"/>
          </w:tcPr>
          <w:p w14:paraId="7CEE0719">
            <w:pPr>
              <w:jc w:val="center"/>
            </w:pPr>
            <w:r>
              <w:rPr>
                <w:rFonts w:ascii="Times New Roman" w:hAnsi="Times New Roman" w:eastAsia="宋体"/>
                <w:b w:val="0"/>
                <w:sz w:val="21"/>
              </w:rPr>
              <w:t>8.05B</w:t>
            </w:r>
          </w:p>
        </w:tc>
        <w:tc>
          <w:tcPr>
            <w:tcW w:w="2448" w:type="dxa"/>
            <w:tcBorders>
              <w:top w:val="nil"/>
              <w:left w:val="nil"/>
              <w:bottom w:val="nil"/>
              <w:right w:val="nil"/>
            </w:tcBorders>
            <w:vAlign w:val="center"/>
          </w:tcPr>
          <w:p w14:paraId="4F5AC8D5">
            <w:pPr>
              <w:jc w:val="center"/>
            </w:pPr>
            <w:r>
              <w:rPr>
                <w:rFonts w:ascii="Times New Roman" w:hAnsi="Times New Roman" w:eastAsia="宋体"/>
                <w:b w:val="0"/>
                <w:sz w:val="21"/>
              </w:rPr>
              <w:t>9.42B</w:t>
            </w:r>
          </w:p>
        </w:tc>
      </w:tr>
      <w:tr w14:paraId="62C59751">
        <w:tblPrEx>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50CD3591">
            <w:pPr>
              <w:jc w:val="left"/>
            </w:pPr>
            <w:r>
              <w:rPr>
                <w:rFonts w:ascii="Times New Roman" w:hAnsi="Times New Roman" w:eastAsia="宋体"/>
                <w:b w:val="0"/>
                <w:sz w:val="21"/>
              </w:rPr>
              <w:t>Fine-tuning Method</w:t>
            </w:r>
          </w:p>
        </w:tc>
        <w:tc>
          <w:tcPr>
            <w:tcW w:w="2448" w:type="dxa"/>
            <w:tcBorders>
              <w:top w:val="nil"/>
              <w:left w:val="nil"/>
              <w:bottom w:val="nil"/>
              <w:right w:val="nil"/>
            </w:tcBorders>
            <w:vAlign w:val="center"/>
          </w:tcPr>
          <w:p w14:paraId="79D6C425">
            <w:pPr>
              <w:jc w:val="center"/>
            </w:pPr>
            <w:r>
              <w:rPr>
                <w:rFonts w:ascii="Times New Roman" w:hAnsi="Times New Roman" w:eastAsia="宋体"/>
                <w:b w:val="0"/>
                <w:sz w:val="21"/>
              </w:rPr>
              <w:t>LoRA</w:t>
            </w:r>
          </w:p>
        </w:tc>
        <w:tc>
          <w:tcPr>
            <w:tcW w:w="2448" w:type="dxa"/>
            <w:tcBorders>
              <w:top w:val="nil"/>
              <w:left w:val="nil"/>
              <w:bottom w:val="nil"/>
              <w:right w:val="nil"/>
            </w:tcBorders>
            <w:vAlign w:val="center"/>
          </w:tcPr>
          <w:p w14:paraId="3B78673D">
            <w:pPr>
              <w:jc w:val="center"/>
            </w:pPr>
            <w:r>
              <w:rPr>
                <w:rFonts w:ascii="Times New Roman" w:hAnsi="Times New Roman" w:eastAsia="宋体"/>
                <w:b w:val="0"/>
                <w:sz w:val="21"/>
              </w:rPr>
              <w:t>LoRA</w:t>
            </w:r>
          </w:p>
        </w:tc>
        <w:tc>
          <w:tcPr>
            <w:tcW w:w="2448" w:type="dxa"/>
            <w:tcBorders>
              <w:top w:val="nil"/>
              <w:left w:val="nil"/>
              <w:bottom w:val="nil"/>
              <w:right w:val="nil"/>
            </w:tcBorders>
            <w:vAlign w:val="center"/>
          </w:tcPr>
          <w:p w14:paraId="74364314">
            <w:pPr>
              <w:jc w:val="center"/>
            </w:pPr>
            <w:r>
              <w:rPr>
                <w:rFonts w:ascii="Times New Roman" w:hAnsi="Times New Roman" w:eastAsia="宋体"/>
                <w:b w:val="0"/>
                <w:sz w:val="21"/>
              </w:rPr>
              <w:t>LoRA</w:t>
            </w:r>
          </w:p>
        </w:tc>
      </w:tr>
      <w:tr w14:paraId="6623DBCD">
        <w:tblPrEx>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52D14AD9">
            <w:pPr>
              <w:jc w:val="left"/>
            </w:pPr>
            <w:r>
              <w:rPr>
                <w:rFonts w:ascii="Times New Roman" w:hAnsi="Times New Roman" w:eastAsia="宋体"/>
                <w:b w:val="0"/>
                <w:sz w:val="21"/>
              </w:rPr>
              <w:t>Trainable Params</w:t>
            </w:r>
          </w:p>
        </w:tc>
        <w:tc>
          <w:tcPr>
            <w:tcW w:w="2448" w:type="dxa"/>
            <w:tcBorders>
              <w:top w:val="nil"/>
              <w:left w:val="nil"/>
              <w:bottom w:val="nil"/>
              <w:right w:val="nil"/>
            </w:tcBorders>
            <w:vAlign w:val="center"/>
          </w:tcPr>
          <w:p w14:paraId="0F1F464D">
            <w:pPr>
              <w:jc w:val="center"/>
            </w:pPr>
            <w:r>
              <w:rPr>
                <w:rFonts w:ascii="Times New Roman" w:hAnsi="Times New Roman" w:eastAsia="宋体"/>
                <w:b w:val="0"/>
                <w:sz w:val="21"/>
              </w:rPr>
              <w:t>20.19M</w:t>
            </w:r>
          </w:p>
        </w:tc>
        <w:tc>
          <w:tcPr>
            <w:tcW w:w="2448" w:type="dxa"/>
            <w:tcBorders>
              <w:top w:val="nil"/>
              <w:left w:val="nil"/>
              <w:bottom w:val="nil"/>
              <w:right w:val="nil"/>
            </w:tcBorders>
            <w:vAlign w:val="center"/>
          </w:tcPr>
          <w:p w14:paraId="01A1AEF7">
            <w:pPr>
              <w:jc w:val="center"/>
            </w:pPr>
            <w:r>
              <w:rPr>
                <w:rFonts w:ascii="Times New Roman" w:hAnsi="Times New Roman" w:eastAsia="宋体"/>
                <w:b w:val="0"/>
                <w:sz w:val="21"/>
              </w:rPr>
              <w:t>20.97M</w:t>
            </w:r>
          </w:p>
        </w:tc>
        <w:tc>
          <w:tcPr>
            <w:tcW w:w="2448" w:type="dxa"/>
            <w:tcBorders>
              <w:top w:val="nil"/>
              <w:left w:val="nil"/>
              <w:bottom w:val="nil"/>
              <w:right w:val="nil"/>
            </w:tcBorders>
            <w:vAlign w:val="center"/>
          </w:tcPr>
          <w:p w14:paraId="5A6AA1B4">
            <w:pPr>
              <w:jc w:val="center"/>
            </w:pPr>
            <w:r>
              <w:rPr>
                <w:rFonts w:ascii="Times New Roman" w:hAnsi="Times New Roman" w:eastAsia="宋体"/>
                <w:b w:val="0"/>
                <w:sz w:val="21"/>
              </w:rPr>
              <w:t>21.18M</w:t>
            </w:r>
          </w:p>
        </w:tc>
      </w:tr>
      <w:tr w14:paraId="12E05C60">
        <w:tblPrEx>
          <w:tblCellMar>
            <w:top w:w="0" w:type="dxa"/>
            <w:left w:w="108" w:type="dxa"/>
            <w:bottom w:w="0" w:type="dxa"/>
            <w:right w:w="108" w:type="dxa"/>
          </w:tblCellMar>
        </w:tblPrEx>
        <w:trPr>
          <w:jc w:val="center"/>
        </w:trPr>
        <w:tc>
          <w:tcPr>
            <w:tcW w:w="2448" w:type="dxa"/>
            <w:tcBorders>
              <w:top w:val="nil"/>
              <w:left w:val="nil"/>
              <w:bottom w:val="nil"/>
              <w:right w:val="nil"/>
            </w:tcBorders>
            <w:vAlign w:val="center"/>
          </w:tcPr>
          <w:p w14:paraId="006C0F1D">
            <w:pPr>
              <w:jc w:val="left"/>
            </w:pPr>
            <w:r>
              <w:rPr>
                <w:rFonts w:ascii="Times New Roman" w:hAnsi="Times New Roman" w:eastAsia="宋体"/>
                <w:b w:val="0"/>
                <w:sz w:val="21"/>
              </w:rPr>
              <w:t>Training Data</w:t>
            </w:r>
          </w:p>
        </w:tc>
        <w:tc>
          <w:tcPr>
            <w:tcW w:w="2448" w:type="dxa"/>
            <w:tcBorders>
              <w:top w:val="nil"/>
              <w:left w:val="nil"/>
              <w:bottom w:val="nil"/>
              <w:right w:val="nil"/>
            </w:tcBorders>
            <w:vAlign w:val="center"/>
          </w:tcPr>
          <w:p w14:paraId="338BE6E8">
            <w:pPr>
              <w:jc w:val="center"/>
            </w:pPr>
            <w:r>
              <w:rPr>
                <w:rFonts w:ascii="Times New Roman" w:hAnsi="Times New Roman" w:eastAsia="宋体"/>
                <w:b w:val="0"/>
                <w:sz w:val="21"/>
              </w:rPr>
              <w:t>729 samples</w:t>
            </w:r>
          </w:p>
        </w:tc>
        <w:tc>
          <w:tcPr>
            <w:tcW w:w="2448" w:type="dxa"/>
            <w:tcBorders>
              <w:top w:val="nil"/>
              <w:left w:val="nil"/>
              <w:bottom w:val="nil"/>
              <w:right w:val="nil"/>
            </w:tcBorders>
            <w:vAlign w:val="center"/>
          </w:tcPr>
          <w:p w14:paraId="682383DC">
            <w:pPr>
              <w:jc w:val="center"/>
            </w:pPr>
            <w:r>
              <w:rPr>
                <w:rFonts w:ascii="Times New Roman" w:hAnsi="Times New Roman" w:eastAsia="宋体"/>
                <w:b w:val="0"/>
                <w:sz w:val="21"/>
              </w:rPr>
              <w:t>729 samples</w:t>
            </w:r>
          </w:p>
        </w:tc>
        <w:tc>
          <w:tcPr>
            <w:tcW w:w="2448" w:type="dxa"/>
            <w:tcBorders>
              <w:top w:val="nil"/>
              <w:left w:val="nil"/>
              <w:bottom w:val="nil"/>
              <w:right w:val="nil"/>
            </w:tcBorders>
            <w:vAlign w:val="center"/>
          </w:tcPr>
          <w:p w14:paraId="76E37A9A">
            <w:pPr>
              <w:jc w:val="center"/>
            </w:pPr>
            <w:r>
              <w:rPr>
                <w:rFonts w:ascii="Times New Roman" w:hAnsi="Times New Roman" w:eastAsia="宋体"/>
                <w:b w:val="0"/>
                <w:sz w:val="21"/>
              </w:rPr>
              <w:t>729 samples</w:t>
            </w:r>
          </w:p>
        </w:tc>
      </w:tr>
      <w:tr w14:paraId="1CDD00E8">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cBorders>
            <w:vAlign w:val="center"/>
          </w:tcPr>
          <w:p w14:paraId="247D6F55">
            <w:pPr>
              <w:jc w:val="left"/>
            </w:pPr>
            <w:r>
              <w:rPr>
                <w:rFonts w:ascii="Times New Roman" w:hAnsi="Times New Roman" w:eastAsia="宋体"/>
                <w:b w:val="0"/>
                <w:sz w:val="21"/>
              </w:rPr>
              <w:t>Training Setting</w:t>
            </w:r>
          </w:p>
        </w:tc>
        <w:tc>
          <w:tcPr>
            <w:tcW w:w="2448" w:type="dxa"/>
            <w:tcBorders>
              <w:top w:val="nil"/>
              <w:left w:val="nil"/>
              <w:bottom w:val="single" w:color="000000" w:sz="12" w:space="0"/>
              <w:right w:val="nil"/>
            </w:tcBorders>
            <w:vAlign w:val="center"/>
          </w:tcPr>
          <w:p w14:paraId="73154AD0">
            <w:pPr>
              <w:jc w:val="center"/>
            </w:pPr>
            <w:r>
              <w:rPr>
                <w:rFonts w:ascii="Times New Roman" w:hAnsi="Times New Roman" w:eastAsia="宋体"/>
                <w:b w:val="0"/>
                <w:sz w:val="21"/>
              </w:rPr>
              <w:t>3 epochs, effective</w:t>
            </w:r>
            <w:r>
              <w:rPr>
                <w:rFonts w:ascii="Times New Roman" w:hAnsi="Times New Roman" w:eastAsia="宋体"/>
                <w:b w:val="0"/>
                <w:sz w:val="21"/>
              </w:rPr>
              <w:br w:type="textWrapping"/>
            </w:r>
            <w:r>
              <w:rPr>
                <w:rFonts w:ascii="Times New Roman" w:hAnsi="Times New Roman" w:eastAsia="宋体"/>
                <w:b w:val="0"/>
                <w:sz w:val="21"/>
              </w:rPr>
              <w:t>batch size = 8</w:t>
            </w:r>
          </w:p>
        </w:tc>
        <w:tc>
          <w:tcPr>
            <w:tcW w:w="2448" w:type="dxa"/>
            <w:tcBorders>
              <w:top w:val="nil"/>
              <w:left w:val="nil"/>
              <w:bottom w:val="single" w:color="000000" w:sz="12" w:space="0"/>
              <w:right w:val="nil"/>
            </w:tcBorders>
            <w:vAlign w:val="center"/>
          </w:tcPr>
          <w:p w14:paraId="5552963B">
            <w:pPr>
              <w:jc w:val="center"/>
            </w:pPr>
            <w:r>
              <w:rPr>
                <w:rFonts w:ascii="Times New Roman" w:hAnsi="Times New Roman" w:eastAsia="宋体"/>
                <w:b w:val="0"/>
                <w:sz w:val="21"/>
              </w:rPr>
              <w:t>3 epochs, effective</w:t>
            </w:r>
            <w:r>
              <w:rPr>
                <w:rFonts w:ascii="Times New Roman" w:hAnsi="Times New Roman" w:eastAsia="宋体"/>
                <w:b w:val="0"/>
                <w:sz w:val="21"/>
              </w:rPr>
              <w:br w:type="textWrapping"/>
            </w:r>
            <w:r>
              <w:rPr>
                <w:rFonts w:ascii="Times New Roman" w:hAnsi="Times New Roman" w:eastAsia="宋体"/>
                <w:b w:val="0"/>
                <w:sz w:val="21"/>
              </w:rPr>
              <w:t>batch size = 8</w:t>
            </w:r>
          </w:p>
        </w:tc>
        <w:tc>
          <w:tcPr>
            <w:tcW w:w="2448" w:type="dxa"/>
            <w:tcBorders>
              <w:top w:val="nil"/>
              <w:left w:val="nil"/>
              <w:bottom w:val="single" w:color="000000" w:sz="12" w:space="0"/>
              <w:right w:val="nil"/>
            </w:tcBorders>
            <w:vAlign w:val="center"/>
          </w:tcPr>
          <w:p w14:paraId="583170FA">
            <w:pPr>
              <w:jc w:val="center"/>
            </w:pPr>
            <w:r>
              <w:rPr>
                <w:rFonts w:ascii="Times New Roman" w:hAnsi="Times New Roman" w:eastAsia="宋体"/>
                <w:b w:val="0"/>
                <w:sz w:val="21"/>
              </w:rPr>
              <w:t>3 epochs, effective</w:t>
            </w:r>
            <w:r>
              <w:rPr>
                <w:rFonts w:ascii="Times New Roman" w:hAnsi="Times New Roman" w:eastAsia="宋体"/>
                <w:b w:val="0"/>
                <w:sz w:val="21"/>
              </w:rPr>
              <w:br w:type="textWrapping"/>
            </w:r>
            <w:r>
              <w:rPr>
                <w:rFonts w:ascii="Times New Roman" w:hAnsi="Times New Roman" w:eastAsia="宋体"/>
                <w:b w:val="0"/>
                <w:sz w:val="21"/>
              </w:rPr>
              <w:t>batch size = 8</w:t>
            </w:r>
          </w:p>
        </w:tc>
      </w:tr>
    </w:tbl>
    <w:p w14:paraId="2866D4CE">
      <w:pPr>
        <w:pStyle w:val="10"/>
        <w:keepNext w:val="0"/>
        <w:keepLines w:val="0"/>
        <w:widowControl/>
        <w:suppressLineNumbers w:val="0"/>
        <w:ind w:firstLine="420"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sz w:val="24"/>
          <w:szCs w:val="24"/>
          <w:lang w:val="en-US" w:eastAsia="zh-CN"/>
        </w:rPr>
        <w:t>由表1，</w:t>
      </w:r>
      <w:r>
        <w:rPr>
          <w:rFonts w:ascii="宋体" w:hAnsi="宋体" w:eastAsia="宋体" w:cs="宋体"/>
          <w:sz w:val="24"/>
          <w:szCs w:val="24"/>
        </w:rPr>
        <w:t>Qwen2-7B、LLaMA3-8B 和 GLM4-9B 均采用 LoRA 微调，训练数据规模一致，训练轮数和 batch size 一致，因此后续 loss curve 和效率对比具有可比性。</w:t>
      </w:r>
    </w:p>
    <w:p w14:paraId="228F6CF5">
      <w:pPr>
        <w:pStyle w:val="3"/>
        <w:bidi w:val="0"/>
        <w:rPr>
          <w:rFonts w:hint="eastAsia"/>
        </w:rPr>
      </w:pPr>
      <w:bookmarkStart w:id="46" w:name="_Toc4726"/>
      <w:bookmarkStart w:id="47" w:name="_Toc27743"/>
      <w:r>
        <w:rPr>
          <w:rFonts w:hint="eastAsia"/>
          <w:lang w:val="en-US" w:eastAsia="zh-CN"/>
        </w:rPr>
        <w:t>五、</w:t>
      </w:r>
      <w:r>
        <w:rPr>
          <w:rFonts w:hint="eastAsia"/>
        </w:rPr>
        <w:t xml:space="preserve"> 测试集评估结果与多维对比分析</w:t>
      </w:r>
      <w:bookmarkEnd w:id="46"/>
      <w:bookmarkEnd w:id="47"/>
    </w:p>
    <w:p w14:paraId="30EDC25D">
      <w:pPr>
        <w:widowControl/>
        <w:spacing w:after="0" w:line="240" w:lineRule="auto"/>
        <w:ind w:firstLine="420"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在训练完成后，我们让三个微调后的模型对独立的 90 条测试集进行了预测生成，并从客观指标与定性表现两方面进行了深入对比：</w:t>
      </w:r>
    </w:p>
    <w:p w14:paraId="6F903B87">
      <w:pPr>
        <w:pStyle w:val="4"/>
        <w:bidi w:val="0"/>
        <w:rPr>
          <w:rFonts w:hint="eastAsia"/>
        </w:rPr>
      </w:pPr>
      <w:bookmarkStart w:id="48" w:name="_Toc1907"/>
      <w:bookmarkStart w:id="49" w:name="_Toc29806"/>
      <w:r>
        <w:rPr>
          <w:rFonts w:hint="eastAsia"/>
          <w:lang w:val="en-US" w:eastAsia="zh-CN"/>
        </w:rPr>
        <w:t>(1)</w:t>
      </w:r>
      <w:r>
        <w:rPr>
          <w:rFonts w:hint="eastAsia"/>
        </w:rPr>
        <w:t>核心指标数据</w:t>
      </w:r>
      <w:bookmarkEnd w:id="48"/>
      <w:bookmarkEnd w:id="49"/>
    </w:p>
    <w:p w14:paraId="0B48A18F">
      <w:pPr>
        <w:widowControl/>
        <w:numPr>
          <w:numId w:val="0"/>
        </w:numPr>
        <w:spacing w:after="0" w:line="240" w:lineRule="auto"/>
        <w:ind w:left="420" w:leftChars="0" w:firstLine="420"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 xml:space="preserve">1. </w:t>
      </w:r>
      <w:r>
        <w:rPr>
          <w:rFonts w:hint="eastAsia" w:ascii="宋体" w:hAnsi="宋体" w:eastAsia="宋体" w:cs="宋体"/>
          <w:b w:val="0"/>
          <w:bCs w:val="0"/>
          <w:color w:val="1F1F1F"/>
          <w:kern w:val="0"/>
          <w:sz w:val="24"/>
          <w:szCs w:val="24"/>
          <w14:ligatures w14:val="none"/>
        </w:rPr>
        <w:t>JSON 格式良率：三款模型均达到了 100%。这证明 QLoRA 在解决“JSON 格式幻觉”上具备跨模型架构的绝对普适性。</w:t>
      </w:r>
    </w:p>
    <w:p w14:paraId="7C6A93A2">
      <w:pPr>
        <w:widowControl/>
        <w:numPr>
          <w:numId w:val="0"/>
        </w:numPr>
        <w:spacing w:after="0" w:line="240" w:lineRule="auto"/>
        <w:ind w:left="360" w:leftChars="0" w:firstLine="480" w:firstLineChars="20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 xml:space="preserve">2. </w:t>
      </w:r>
      <w:r>
        <w:rPr>
          <w:rFonts w:hint="eastAsia" w:ascii="宋体" w:hAnsi="宋体" w:eastAsia="宋体" w:cs="宋体"/>
          <w:b w:val="0"/>
          <w:bCs w:val="0"/>
          <w:color w:val="1F1F1F"/>
          <w:kern w:val="0"/>
          <w:sz w:val="24"/>
          <w:szCs w:val="24"/>
          <w14:ligatures w14:val="none"/>
        </w:rPr>
        <w:t>验证集损失 (Eval Loss)：LLaMA3-8B (0.653) &lt; Qwen2-7B (0.718) &lt; GLM-4-9B (0.750)。</w:t>
      </w:r>
    </w:p>
    <w:p w14:paraId="1FAE9FE5">
      <w:pPr>
        <w:widowControl/>
        <w:numPr>
          <w:numId w:val="0"/>
        </w:numPr>
        <w:spacing w:after="0" w:line="240" w:lineRule="auto"/>
        <w:ind w:left="360" w:leftChars="0" w:firstLine="416"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 xml:space="preserve">3. </w:t>
      </w:r>
      <w:r>
        <w:rPr>
          <w:rFonts w:hint="eastAsia" w:ascii="宋体" w:hAnsi="宋体" w:eastAsia="宋体" w:cs="宋体"/>
          <w:b w:val="0"/>
          <w:bCs w:val="0"/>
          <w:color w:val="1F1F1F"/>
          <w:kern w:val="0"/>
          <w:sz w:val="24"/>
          <w:szCs w:val="24"/>
          <w14:ligatures w14:val="none"/>
        </w:rPr>
        <w:t>ROUGE-1 (词汇精准度)：LLaMA3-8B (62.83) &gt; Qwen2-7B (61.88) &gt; GLM-4-9B (61.50)。</w:t>
      </w:r>
    </w:p>
    <w:p w14:paraId="0938D934">
      <w:pPr>
        <w:widowControl/>
        <w:numPr>
          <w:numId w:val="0"/>
        </w:numPr>
        <w:spacing w:after="0" w:line="240" w:lineRule="auto"/>
        <w:ind w:left="360" w:leftChars="0" w:firstLine="416"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 xml:space="preserve">4. </w:t>
      </w:r>
      <w:r>
        <w:rPr>
          <w:rFonts w:hint="eastAsia" w:ascii="宋体" w:hAnsi="宋体" w:eastAsia="宋体" w:cs="宋体"/>
          <w:b w:val="0"/>
          <w:bCs w:val="0"/>
          <w:color w:val="1F1F1F"/>
          <w:kern w:val="0"/>
          <w:sz w:val="24"/>
          <w:szCs w:val="24"/>
          <w14:ligatures w14:val="none"/>
        </w:rPr>
        <w:t>BLEU-4 (句式连贯性)：GLM-4-9B (45.85) &gt; LLaMA3-8B (45.67) &gt; Qwen2-7B (44.83)。</w:t>
      </w:r>
    </w:p>
    <w:p w14:paraId="64F15E87">
      <w:pPr>
        <w:widowControl/>
        <w:numPr>
          <w:numId w:val="0"/>
        </w:numPr>
        <w:spacing w:after="0" w:line="240" w:lineRule="auto"/>
        <w:ind w:left="360" w:leftChars="0" w:firstLine="416"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lang w:val="en-US" w:eastAsia="zh-CN"/>
          <w14:ligatures w14:val="none"/>
        </w:rPr>
        <w:t xml:space="preserve">5. </w:t>
      </w:r>
      <w:r>
        <w:rPr>
          <w:rFonts w:hint="eastAsia" w:ascii="宋体" w:hAnsi="宋体" w:eastAsia="宋体" w:cs="宋体"/>
          <w:b w:val="0"/>
          <w:bCs w:val="0"/>
          <w:color w:val="1F1F1F"/>
          <w:kern w:val="0"/>
          <w:sz w:val="24"/>
          <w:szCs w:val="24"/>
          <w14:ligatures w14:val="none"/>
        </w:rPr>
        <w:t>推理效率 (响应速度)：Qwen2-7B 推理速度最快 (0.064 s/it)，展现出最高的工程部署性价比。</w:t>
      </w:r>
    </w:p>
    <w:p w14:paraId="1AC45B8E">
      <w:pPr>
        <w:pStyle w:val="4"/>
        <w:bidi w:val="0"/>
        <w:rPr>
          <w:rFonts w:hint="eastAsia"/>
        </w:rPr>
      </w:pPr>
      <w:bookmarkStart w:id="50" w:name="_Toc7794"/>
      <w:bookmarkStart w:id="51" w:name="_Toc14209"/>
      <w:r>
        <w:rPr>
          <w:rFonts w:hint="eastAsia"/>
          <w:lang w:val="en-US" w:eastAsia="zh-CN"/>
        </w:rPr>
        <w:t>(2)</w:t>
      </w:r>
      <w:r>
        <w:rPr>
          <w:rFonts w:hint="eastAsia"/>
        </w:rPr>
        <w:t>模型表现深度洞察</w:t>
      </w:r>
      <w:bookmarkEnd w:id="50"/>
      <w:bookmarkEnd w:id="51"/>
    </w:p>
    <w:p w14:paraId="79F90962">
      <w:pPr>
        <w:widowControl/>
        <w:spacing w:after="0" w:line="240" w:lineRule="auto"/>
        <w:ind w:firstLine="420"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根据上述数据，我们总结出三大模型的各自优势与特性：</w:t>
      </w:r>
    </w:p>
    <w:p w14:paraId="61E9FAA6">
      <w:pPr>
        <w:widowControl/>
        <w:numPr>
          <w:ilvl w:val="0"/>
          <w:numId w:val="2"/>
        </w:numPr>
        <w:spacing w:after="0" w:line="240" w:lineRule="auto"/>
        <w:ind w:left="360" w:left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Qwen2-7B (效率最佳)：训练耗时最短，推理速度最快，且对中文任务有着天然的良好适应性。</w:t>
      </w:r>
    </w:p>
    <w:p w14:paraId="68418A7E">
      <w:pPr>
        <w:widowControl/>
        <w:numPr>
          <w:ilvl w:val="0"/>
          <w:numId w:val="2"/>
        </w:numPr>
        <w:spacing w:after="0" w:line="240" w:lineRule="auto"/>
        <w:ind w:left="360" w:leftChars="0" w:firstLine="0" w:firstLineChars="0"/>
        <w:rPr>
          <w:rFonts w:hint="eastAsia" w:ascii="宋体" w:hAnsi="宋体" w:eastAsia="宋体" w:cs="宋体"/>
          <w:b w:val="0"/>
          <w:bCs w:val="0"/>
          <w:color w:val="1F1F1F"/>
          <w:kern w:val="0"/>
          <w:sz w:val="24"/>
          <w:szCs w:val="24"/>
          <w14:ligatures w14:val="none"/>
        </w:rPr>
      </w:pPr>
      <w:r>
        <w:rPr>
          <w:rFonts w:hint="eastAsia" w:ascii="宋体" w:hAnsi="宋体" w:eastAsia="宋体" w:cs="宋体"/>
          <w:b w:val="0"/>
          <w:bCs w:val="0"/>
          <w:color w:val="1F1F1F"/>
          <w:kern w:val="0"/>
          <w:sz w:val="24"/>
          <w:szCs w:val="24"/>
          <w14:ligatures w14:val="none"/>
        </w:rPr>
        <w:t>GLM-4-9B (语感最佳)：虽然其验证集 Loss 偏高，但其 BLEU-4 得分位列第一。这说明 9B 的庞大参数使其在组织长难句、逻辑推演以及模拟“专业导师语气”时最为连贯和流畅，呈现出有趣的“Loss与文本质量悖论”。</w:t>
      </w:r>
    </w:p>
    <w:p w14:paraId="6C93F875">
      <w:pPr>
        <w:widowControl/>
        <w:numPr>
          <w:ilvl w:val="0"/>
          <w:numId w:val="2"/>
        </w:numPr>
        <w:spacing w:after="0" w:line="240" w:lineRule="auto"/>
        <w:ind w:left="360" w:leftChars="0" w:firstLine="0" w:firstLineChars="0"/>
        <w:rPr>
          <w:rFonts w:ascii="宋体" w:hAnsi="宋体" w:eastAsia="宋体" w:cs="宋体"/>
          <w:sz w:val="24"/>
          <w:szCs w:val="24"/>
        </w:rPr>
      </w:pPr>
      <w:r>
        <w:rPr>
          <w:rFonts w:hint="eastAsia" w:ascii="宋体" w:hAnsi="宋体" w:eastAsia="宋体" w:cs="宋体"/>
          <w:b w:val="0"/>
          <w:bCs w:val="0"/>
          <w:color w:val="1F1F1F"/>
          <w:kern w:val="0"/>
          <w:sz w:val="24"/>
          <w:szCs w:val="24"/>
          <w14:ligatures w14:val="none"/>
        </w:rPr>
        <w:t>LLaMA3-8B (综合最优)：不仅取得了最低的 Eval Loss，体现了最强的底层拟合能力，同时其最高的 ROUGE-1 分数说明它在提取“数据挖掘”、“A/B Test”等专业孤立关键词时最为精准。</w:t>
      </w:r>
    </w:p>
    <w:p w14:paraId="6767FC1C">
      <w:pPr>
        <w:pStyle w:val="10"/>
        <w:keepNext w:val="0"/>
        <w:keepLines w:val="0"/>
        <w:widowControl/>
        <w:suppressLineNumbers w:val="0"/>
      </w:pPr>
      <w:r>
        <w:rPr>
          <w:rFonts w:hint="eastAsia"/>
          <w:lang w:val="en-US" w:eastAsia="zh-CN"/>
        </w:rPr>
        <w:t xml:space="preserve">    </w:t>
      </w:r>
      <w:r>
        <w:drawing>
          <wp:inline distT="0" distB="0" distL="114300" distR="114300">
            <wp:extent cx="5321935" cy="3268345"/>
            <wp:effectExtent l="0" t="0" r="0" b="2540"/>
            <wp:docPr id="10" name="图片 1" descr="post_object_image_326171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post_object_image_3261719541"/>
                    <pic:cNvPicPr>
                      <a:picLocks noChangeAspect="1"/>
                    </pic:cNvPicPr>
                  </pic:nvPicPr>
                  <pic:blipFill>
                    <a:blip r:embed="rId11"/>
                    <a:srcRect t="910"/>
                    <a:stretch>
                      <a:fillRect/>
                    </a:stretch>
                  </pic:blipFill>
                  <pic:spPr>
                    <a:xfrm>
                      <a:off x="0" y="0"/>
                      <a:ext cx="5321935" cy="3268345"/>
                    </a:xfrm>
                    <a:prstGeom prst="rect">
                      <a:avLst/>
                    </a:prstGeom>
                  </pic:spPr>
                </pic:pic>
              </a:graphicData>
            </a:graphic>
          </wp:inline>
        </w:drawing>
      </w:r>
    </w:p>
    <w:p w14:paraId="3F8BB214">
      <w:pPr>
        <w:pStyle w:val="10"/>
        <w:keepNext w:val="0"/>
        <w:keepLines w:val="0"/>
        <w:widowControl/>
        <w:suppressLineNumbers w:val="0"/>
      </w:pPr>
      <w:r>
        <w:rPr>
          <w:rFonts w:hint="eastAsia"/>
          <w:lang w:val="en-US" w:eastAsia="zh-CN"/>
        </w:rPr>
        <w:t xml:space="preserve">   </w:t>
      </w:r>
      <w:r>
        <w:drawing>
          <wp:inline distT="0" distB="0" distL="114300" distR="114300">
            <wp:extent cx="5442585" cy="3358515"/>
            <wp:effectExtent l="0" t="0" r="8890" b="9525"/>
            <wp:docPr id="13" name="图片 3" descr="post_object_image_108281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post_object_image_1082812796"/>
                    <pic:cNvPicPr>
                      <a:picLocks noChangeAspect="1"/>
                    </pic:cNvPicPr>
                  </pic:nvPicPr>
                  <pic:blipFill>
                    <a:blip r:embed="rId12"/>
                    <a:stretch>
                      <a:fillRect/>
                    </a:stretch>
                  </pic:blipFill>
                  <pic:spPr>
                    <a:xfrm>
                      <a:off x="0" y="0"/>
                      <a:ext cx="5442585" cy="3358515"/>
                    </a:xfrm>
                    <a:prstGeom prst="rect">
                      <a:avLst/>
                    </a:prstGeom>
                  </pic:spPr>
                </pic:pic>
              </a:graphicData>
            </a:graphic>
          </wp:inline>
        </w:drawing>
      </w:r>
    </w:p>
    <w:p w14:paraId="38AC7C5B">
      <w:pPr>
        <w:pStyle w:val="10"/>
        <w:keepNext w:val="0"/>
        <w:keepLines w:val="0"/>
        <w:widowControl/>
        <w:suppressLineNumbers w:val="0"/>
        <w:ind w:left="2520" w:leftChars="0" w:firstLine="880" w:firstLineChars="400"/>
        <w:jc w:val="both"/>
        <w:rPr>
          <w:rFonts w:hint="eastAsia" w:ascii="宋体" w:hAnsi="宋体" w:eastAsia="宋体" w:cs="宋体"/>
          <w:sz w:val="22"/>
          <w:szCs w:val="21"/>
        </w:rPr>
      </w:pPr>
      <w:r>
        <w:rPr>
          <w:rFonts w:hint="eastAsia" w:ascii="宋体" w:hAnsi="宋体" w:eastAsia="宋体" w:cs="宋体"/>
          <w:sz w:val="22"/>
          <w:szCs w:val="21"/>
          <w:lang w:val="en-US" w:eastAsia="zh-CN"/>
        </w:rPr>
        <w:t xml:space="preserve">图6 </w:t>
      </w:r>
      <w:r>
        <w:rPr>
          <w:rFonts w:hint="eastAsia" w:ascii="宋体" w:hAnsi="宋体" w:eastAsia="宋体" w:cs="宋体"/>
          <w:sz w:val="22"/>
          <w:szCs w:val="21"/>
        </w:rPr>
        <w:t>Loss Curve Comparison</w:t>
      </w:r>
    </w:p>
    <w:p w14:paraId="534D8AC2">
      <w:pPr>
        <w:pStyle w:val="10"/>
        <w:keepNext w:val="0"/>
        <w:keepLines w:val="0"/>
        <w:widowControl/>
        <w:suppressLineNumbers w:val="0"/>
        <w:ind w:firstLine="420" w:firstLineChars="0"/>
        <w:rPr>
          <w:rFonts w:hint="eastAsia" w:ascii="宋体" w:hAnsi="宋体" w:eastAsia="宋体" w:cs="宋体"/>
          <w:sz w:val="24"/>
          <w:szCs w:val="24"/>
          <w:lang w:val="en-US" w:eastAsia="zh-CN"/>
        </w:rPr>
      </w:pPr>
      <w:r>
        <w:rPr>
          <w:rFonts w:hint="eastAsia" w:ascii="宋体" w:hAnsi="宋体" w:eastAsia="宋体" w:cs="宋体"/>
        </w:rPr>
        <w:t>从</w:t>
      </w:r>
      <w:r>
        <w:rPr>
          <w:rFonts w:hint="eastAsia" w:ascii="宋体" w:hAnsi="宋体" w:eastAsia="宋体" w:cs="宋体"/>
          <w:lang w:val="en-US" w:eastAsia="zh-CN"/>
        </w:rPr>
        <w:t>图6</w:t>
      </w:r>
      <w:r>
        <w:rPr>
          <w:rFonts w:hint="eastAsia" w:ascii="宋体" w:hAnsi="宋体" w:eastAsia="宋体" w:cs="宋体"/>
        </w:rPr>
        <w:t>训练损失曲线和验证损失曲线可以看出，Qwen2-7B、LLaMA3-8B 和 GLM4-9B 三个模型在训练过程中均呈现出较为明显的 loss 下降趋势，说明三者均能够有效学习训练数据并实现基本收敛。其中，GLM4-9B 在训练集上的损失下降较快，表明其对训练数据具有较强的拟合能力；然而，其验证集损失并未达到最优，说明其泛化表现相对有限。相比之下，LLaMA3-8B 在验证集上取得了最低的 evaluation loss，表明其在保持较好训练效果的同时具有更优的泛化能力。</w:t>
      </w:r>
    </w:p>
    <w:p w14:paraId="23C579E7">
      <w:pPr>
        <w:pStyle w:val="10"/>
        <w:keepNext w:val="0"/>
        <w:keepLines w:val="0"/>
        <w:widowControl/>
        <w:suppressLineNumbers w:val="0"/>
        <w:ind w:firstLine="420" w:firstLineChars="0"/>
        <w:rPr>
          <w:rFonts w:hint="default" w:ascii="宋体" w:hAnsi="宋体" w:eastAsia="宋体" w:cs="宋体"/>
          <w:b w:val="0"/>
          <w:bCs w:val="0"/>
          <w:sz w:val="24"/>
          <w:szCs w:val="24"/>
          <w:lang w:val="en-US" w:eastAsia="zh-CN"/>
        </w:rPr>
      </w:pPr>
      <w:r>
        <w:rPr>
          <w:rFonts w:ascii="宋体" w:hAnsi="宋体" w:eastAsia="宋体" w:cs="宋体"/>
          <w:sz w:val="24"/>
          <w:szCs w:val="24"/>
        </w:rPr>
        <w:t>实验结果显示，三个模型的训练损失均呈下降趋势，说明均能有效收敛；其中 GLM4-9B 对训练集拟合较强，但其验证集表现不如 LLaMA3-8B。综合训练损失、验证损失、训练效率和 LoRA 参数效率后，本研究最终选择 LLaMA3-8B 作为后续 BOHB 超参数调优、NEFTune 正则化增强以及 Taguchi 正交实验的主模型。</w:t>
      </w:r>
    </w:p>
    <w:p w14:paraId="00A3B1E8">
      <w:pPr>
        <w:pStyle w:val="2"/>
        <w:bidi w:val="0"/>
        <w:rPr>
          <w:rFonts w:hint="eastAsia"/>
          <w:lang w:val="en-US" w:eastAsia="zh-CN"/>
        </w:rPr>
      </w:pPr>
      <w:bookmarkStart w:id="52" w:name="_Toc6337"/>
      <w:bookmarkStart w:id="53" w:name="_Toc15670"/>
      <w:r>
        <w:rPr>
          <w:rFonts w:hint="eastAsia"/>
          <w:lang w:val="en-US" w:eastAsia="zh-CN"/>
        </w:rPr>
        <w:t>（四）超参数选取与调优</w:t>
      </w:r>
      <w:bookmarkEnd w:id="52"/>
      <w:bookmarkEnd w:id="53"/>
    </w:p>
    <w:p w14:paraId="5DA603EC">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ascii="宋体" w:hAnsi="宋体" w:eastAsia="宋体" w:cs="宋体"/>
          <w:sz w:val="24"/>
          <w:szCs w:val="24"/>
        </w:rPr>
        <w:t>在上一步中，本研究基于 GPTQ 量化后</w:t>
      </w:r>
      <w:r>
        <w:rPr>
          <w:rFonts w:hint="eastAsia" w:ascii="宋体" w:hAnsi="宋体" w:eastAsia="宋体" w:cs="宋体"/>
          <w:sz w:val="24"/>
          <w:szCs w:val="24"/>
        </w:rPr>
        <w:t>Qwen2-7B, LLaMA3-8B, GLM-4-9B</w:t>
      </w:r>
      <w:r>
        <w:rPr>
          <w:rFonts w:ascii="宋体" w:hAnsi="宋体" w:eastAsia="宋体" w:cs="宋体"/>
          <w:sz w:val="24"/>
          <w:szCs w:val="24"/>
        </w:rPr>
        <w:t>模型进行</w:t>
      </w:r>
      <w:r>
        <w:rPr>
          <w:rFonts w:hint="eastAsia" w:ascii="宋体" w:hAnsi="宋体" w:eastAsia="宋体" w:cs="宋体"/>
          <w:sz w:val="24"/>
          <w:szCs w:val="24"/>
          <w:lang w:val="en-US" w:eastAsia="zh-CN"/>
        </w:rPr>
        <w:t>了</w:t>
      </w:r>
      <w:r>
        <w:rPr>
          <w:rFonts w:ascii="宋体" w:hAnsi="宋体" w:eastAsia="宋体" w:cs="宋体"/>
          <w:sz w:val="24"/>
          <w:szCs w:val="24"/>
        </w:rPr>
        <w:t xml:space="preserve"> LoRA 微调</w:t>
      </w:r>
      <w:r>
        <w:rPr>
          <w:rFonts w:hint="eastAsia" w:ascii="宋体" w:hAnsi="宋体" w:eastAsia="宋体" w:cs="宋体"/>
          <w:sz w:val="24"/>
          <w:szCs w:val="24"/>
          <w:lang w:val="en-US" w:eastAsia="zh-CN"/>
        </w:rPr>
        <w:t>,并选出表现最好的</w:t>
      </w:r>
      <w:r>
        <w:rPr>
          <w:rFonts w:hint="eastAsia" w:ascii="宋体" w:hAnsi="宋体" w:eastAsia="宋体" w:cs="宋体"/>
          <w:sz w:val="24"/>
          <w:szCs w:val="24"/>
        </w:rPr>
        <w:t>LLaMA3-8B</w:t>
      </w:r>
      <w:r>
        <w:rPr>
          <w:rFonts w:hint="eastAsia" w:ascii="宋体" w:hAnsi="宋体" w:eastAsia="宋体" w:cs="宋体"/>
          <w:sz w:val="24"/>
          <w:szCs w:val="24"/>
          <w:lang w:val="en-US" w:eastAsia="zh-CN"/>
        </w:rPr>
        <w:t>作为后续分析的基线模型</w:t>
      </w:r>
      <w:r>
        <w:rPr>
          <w:rFonts w:ascii="宋体" w:hAnsi="宋体" w:eastAsia="宋体" w:cs="宋体"/>
          <w:sz w:val="24"/>
          <w:szCs w:val="24"/>
        </w:rPr>
        <w:t>。接下来，本研究在该微调框架的基础上</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将</w:t>
      </w:r>
      <w:r>
        <w:rPr>
          <w:rFonts w:hint="eastAsia" w:ascii="宋体" w:hAnsi="宋体" w:eastAsia="宋体" w:cs="宋体"/>
          <w:b w:val="0"/>
          <w:bCs w:val="0"/>
          <w:color w:val="000000"/>
          <w:kern w:val="0"/>
          <w:sz w:val="24"/>
          <w:szCs w:val="24"/>
          <w:lang w:val="en-US" w:eastAsia="zh-CN" w:bidi="ar"/>
        </w:rPr>
        <w:t>超参数选取与调优分为两个阶段。阶段一</w:t>
      </w:r>
      <w:r>
        <w:rPr>
          <w:rFonts w:ascii="宋体" w:hAnsi="宋体" w:eastAsia="宋体" w:cs="宋体"/>
          <w:sz w:val="24"/>
          <w:szCs w:val="24"/>
        </w:rPr>
        <w:t>采用</w:t>
      </w:r>
      <w:r>
        <w:rPr>
          <w:rFonts w:hint="eastAsia" w:ascii="宋体" w:hAnsi="宋体" w:eastAsia="宋体" w:cs="宋体"/>
          <w:b w:val="0"/>
          <w:bCs w:val="0"/>
          <w:sz w:val="24"/>
          <w:szCs w:val="24"/>
          <w:lang w:val="en-US" w:eastAsia="zh-CN"/>
        </w:rPr>
        <w:t>BOHB</w:t>
      </w:r>
      <w:r>
        <w:rPr>
          <w:rFonts w:hint="eastAsia" w:ascii="宋体" w:hAnsi="宋体" w:eastAsia="宋体" w:cs="宋体"/>
          <w:b w:val="0"/>
          <w:bCs w:val="0"/>
          <w:sz w:val="24"/>
          <w:szCs w:val="24"/>
        </w:rPr>
        <w:t>（Bayesian Optimization and Hyperband）</w:t>
      </w:r>
      <w:r>
        <w:rPr>
          <w:rFonts w:hint="eastAsia" w:ascii="宋体" w:hAnsi="宋体" w:eastAsia="宋体" w:cs="宋体"/>
          <w:b w:val="0"/>
          <w:bCs w:val="0"/>
          <w:sz w:val="24"/>
          <w:szCs w:val="24"/>
          <w:lang w:eastAsia="zh-CN"/>
        </w:rPr>
        <w:t>，</w:t>
      </w:r>
      <w:r>
        <w:rPr>
          <w:rFonts w:ascii="宋体" w:hAnsi="宋体" w:eastAsia="宋体" w:cs="宋体"/>
          <w:sz w:val="24"/>
          <w:szCs w:val="24"/>
        </w:rPr>
        <w:t>首先调节 LoRA 参数，其次调节学习率、warmup ratio 和 scheduler 等优化过程参数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阶段二</w:t>
      </w:r>
      <w:r>
        <w:rPr>
          <w:rFonts w:ascii="宋体" w:hAnsi="宋体" w:eastAsia="宋体" w:cs="宋体"/>
          <w:sz w:val="24"/>
          <w:szCs w:val="24"/>
        </w:rPr>
        <w:t>进一步将 NEFTune 作为训练阶段的正则化增强方法纳入调参框架，以提升模型的泛化能力和输出稳定性。</w:t>
      </w:r>
    </w:p>
    <w:p w14:paraId="37442F88">
      <w:pPr>
        <w:pStyle w:val="3"/>
        <w:bidi w:val="0"/>
        <w:rPr>
          <w:rFonts w:hint="default"/>
          <w:b w:val="0"/>
          <w:bCs/>
          <w:lang w:val="en-US" w:eastAsia="zh-CN"/>
        </w:rPr>
      </w:pPr>
      <w:bookmarkStart w:id="54" w:name="_Toc18528"/>
      <w:bookmarkStart w:id="55" w:name="_Toc23866"/>
      <w:r>
        <w:rPr>
          <w:rFonts w:hint="eastAsia"/>
          <w:b/>
          <w:bCs w:val="0"/>
          <w:lang w:val="en-US" w:eastAsia="zh-CN"/>
        </w:rPr>
        <w:t>一</w:t>
      </w:r>
      <w:r>
        <w:rPr>
          <w:rFonts w:hint="eastAsia"/>
          <w:b w:val="0"/>
          <w:bCs/>
          <w:lang w:val="en-US" w:eastAsia="zh-CN"/>
        </w:rPr>
        <w:t>、</w:t>
      </w:r>
      <w:r>
        <w:rPr>
          <w:rFonts w:hint="default"/>
          <w:b w:val="0"/>
          <w:bCs/>
          <w:lang w:val="en-US" w:eastAsia="zh-CN"/>
        </w:rPr>
        <w:t>stage1</w:t>
      </w:r>
      <w:r>
        <w:rPr>
          <w:rFonts w:hint="eastAsia"/>
          <w:b w:val="0"/>
          <w:bCs/>
          <w:lang w:val="en-US" w:eastAsia="zh-CN"/>
        </w:rPr>
        <w:t>——</w:t>
      </w:r>
      <w:r>
        <w:rPr>
          <w:rFonts w:hint="default"/>
          <w:b w:val="0"/>
          <w:bCs/>
          <w:lang w:val="en-US" w:eastAsia="zh-CN"/>
        </w:rPr>
        <w:t>BOHB</w:t>
      </w:r>
      <w:r>
        <w:rPr>
          <w:rFonts w:hint="default"/>
          <w:b w:val="0"/>
          <w:bCs/>
        </w:rPr>
        <w:t>（Bayesian Optimization and Hyperband）</w:t>
      </w:r>
      <w:bookmarkEnd w:id="54"/>
      <w:bookmarkEnd w:id="55"/>
    </w:p>
    <w:p w14:paraId="011E396F">
      <w:pPr>
        <w:ind w:firstLine="420" w:firstLineChars="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BOHB（Bayesian Optimization and Hyperband）是一种高级超参数优化方法</w:t>
      </w:r>
      <w:r>
        <w:rPr>
          <w:rFonts w:hint="default"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rPr>
        <w:t>由 Falkner, Klein 和 Hutter 在 2018 年提出，核心目标是在有限资源下实现更高效、鲁棒的超参数搜索</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它把</w:t>
      </w:r>
      <w:r>
        <w:rPr>
          <w:rStyle w:val="14"/>
          <w:rFonts w:hint="default" w:ascii="Times New Roman" w:hAnsi="Times New Roman" w:eastAsia="宋体" w:cs="Times New Roman"/>
          <w:b w:val="0"/>
          <w:bCs w:val="0"/>
          <w:sz w:val="24"/>
          <w:szCs w:val="24"/>
        </w:rPr>
        <w:t>贝叶斯优化</w:t>
      </w:r>
      <w:r>
        <w:rPr>
          <w:rFonts w:hint="default" w:ascii="Times New Roman" w:hAnsi="Times New Roman" w:eastAsia="宋体" w:cs="Times New Roman"/>
          <w:b w:val="0"/>
          <w:bCs w:val="0"/>
          <w:sz w:val="24"/>
          <w:szCs w:val="24"/>
        </w:rPr>
        <w:t xml:space="preserve">和 </w:t>
      </w:r>
      <w:r>
        <w:rPr>
          <w:rStyle w:val="14"/>
          <w:rFonts w:hint="default" w:ascii="Times New Roman" w:hAnsi="Times New Roman" w:eastAsia="宋体" w:cs="Times New Roman"/>
          <w:b w:val="0"/>
          <w:bCs w:val="0"/>
          <w:sz w:val="24"/>
          <w:szCs w:val="24"/>
        </w:rPr>
        <w:t>Hyperband 早停机制</w:t>
      </w:r>
      <w:r>
        <w:rPr>
          <w:rFonts w:hint="default" w:ascii="Times New Roman" w:hAnsi="Times New Roman" w:eastAsia="宋体" w:cs="Times New Roman"/>
          <w:b w:val="0"/>
          <w:bCs w:val="0"/>
          <w:sz w:val="24"/>
          <w:szCs w:val="24"/>
        </w:rPr>
        <w:t xml:space="preserve"> 结合起来：一方面，BOHB 不像 grid search 那样盲目遍历所有组合，而是根据已有实验结果预测哪些超参数更可能有效；另一方面，它会像 Hyperband 一样先给很多候选配置分配少量训练资源，并提前淘汰表现差的配置，从而节省大模型微调的计算成本</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rPr>
        <w:t xml:space="preserve">。其目标是在超参数搜索空间 </w:t>
      </w:r>
      <m:oMath>
        <m:r>
          <m:rPr>
            <m:nor/>
            <m:sty m:val="p"/>
          </m:rPr>
          <w:rPr>
            <w:rFonts w:hint="default" w:ascii="Times New Roman" w:hAnsi="Times New Roman" w:eastAsia="宋体" w:cs="Times New Roman"/>
            <w:b w:val="0"/>
            <w:bCs w:val="0"/>
            <w:i w:val="0"/>
            <w:sz w:val="24"/>
            <w:szCs w:val="24"/>
          </w:rPr>
          <m:t>Λ</m:t>
        </m:r>
      </m:oMath>
      <w:r>
        <w:rPr>
          <w:rFonts w:hint="default" w:ascii="Times New Roman" w:hAnsi="Times New Roman" w:eastAsia="宋体" w:cs="Times New Roman"/>
          <w:b w:val="0"/>
          <w:bCs w:val="0"/>
          <w:sz w:val="24"/>
          <w:szCs w:val="24"/>
        </w:rPr>
        <w:t xml:space="preserve"> 中寻找验证集损失最小的配置：</w:t>
      </w:r>
    </w:p>
    <w:p w14:paraId="3C6A8D1D">
      <w:pPr>
        <w:pStyle w:val="6"/>
        <w:rPr>
          <w:rFonts w:hint="default" w:ascii="Times New Roman" w:hAnsi="Times New Roman" w:eastAsia="宋体" w:cs="Times New Roman"/>
          <w:b w:val="0"/>
          <w:bCs w:val="0"/>
          <w:sz w:val="24"/>
          <w:szCs w:val="24"/>
        </w:rPr>
      </w:pPr>
      <m:oMathPara>
        <m:oMathParaPr>
          <m:jc m:val="center"/>
        </m:oMathParaPr>
        <m:oMath>
          <m:sSup>
            <m:sSupPr>
              <m:ctrlPr>
                <w:rPr>
                  <w:rFonts w:hint="default" w:ascii="Cambria Math" w:hAnsi="Cambria Math" w:eastAsia="宋体" w:cs="Times New Roman"/>
                  <w:b w:val="0"/>
                  <w:bCs w:val="0"/>
                  <w:sz w:val="32"/>
                  <w:szCs w:val="32"/>
                </w:rPr>
              </m:ctrlPr>
            </m:sSupPr>
            <m:e>
              <m:r>
                <m:rPr>
                  <m:nor/>
                </m:rPr>
                <w:rPr>
                  <w:rFonts w:hint="default" w:ascii="Times New Roman" w:hAnsi="Times New Roman" w:eastAsia="宋体" w:cs="Times New Roman"/>
                  <w:b w:val="0"/>
                  <w:bCs w:val="0"/>
                  <w:i/>
                  <w:sz w:val="32"/>
                  <w:szCs w:val="32"/>
                </w:rPr>
                <m:t>λ</m:t>
              </m:r>
              <m:ctrlPr>
                <w:rPr>
                  <w:rFonts w:hint="default" w:ascii="Cambria Math" w:hAnsi="Cambria Math" w:eastAsia="宋体" w:cs="Times New Roman"/>
                  <w:b w:val="0"/>
                  <w:bCs w:val="0"/>
                  <w:sz w:val="32"/>
                  <w:szCs w:val="32"/>
                </w:rPr>
              </m:ctrlPr>
            </m:e>
            <m:sup>
              <m:r>
                <m:rPr>
                  <m:nor/>
                  <m:sty m:val="p"/>
                </m:rPr>
                <w:rPr>
                  <w:rFonts w:hint="default" w:ascii="Times New Roman" w:hAnsi="Times New Roman" w:eastAsia="宋体" w:cs="Times New Roman"/>
                  <w:b w:val="0"/>
                  <w:bCs w:val="0"/>
                  <w:i w:val="0"/>
                  <w:sz w:val="32"/>
                  <w:szCs w:val="32"/>
                </w:rPr>
                <m:t>∗</m:t>
              </m:r>
              <m:ctrlPr>
                <w:rPr>
                  <w:rFonts w:hint="default" w:ascii="Cambria Math" w:hAnsi="Cambria Math" w:eastAsia="宋体" w:cs="Times New Roman"/>
                  <w:b w:val="0"/>
                  <w:bCs w:val="0"/>
                  <w:sz w:val="32"/>
                  <w:szCs w:val="32"/>
                </w:rPr>
              </m:ctrlPr>
            </m:sup>
          </m:sSup>
          <m:r>
            <m:rPr>
              <m:nor/>
              <m:sty m:val="p"/>
            </m:rPr>
            <w:rPr>
              <w:rFonts w:hint="default" w:ascii="Times New Roman" w:hAnsi="Times New Roman" w:eastAsia="宋体" w:cs="Times New Roman"/>
              <w:b w:val="0"/>
              <w:bCs w:val="0"/>
              <w:i w:val="0"/>
              <w:sz w:val="32"/>
              <w:szCs w:val="32"/>
            </w:rPr>
            <m:t>=arg</m:t>
          </m:r>
          <m:limLow>
            <m:limLowPr>
              <m:ctrlPr>
                <w:rPr>
                  <w:rFonts w:hint="default" w:ascii="Cambria Math" w:hAnsi="Cambria Math" w:eastAsia="宋体" w:cs="Times New Roman"/>
                  <w:b w:val="0"/>
                  <w:bCs w:val="0"/>
                  <w:sz w:val="32"/>
                  <w:szCs w:val="32"/>
                </w:rPr>
              </m:ctrlPr>
            </m:limLowPr>
            <m:e>
              <m:r>
                <m:rPr>
                  <m:nor/>
                  <m:sty m:val="p"/>
                </m:rPr>
                <w:rPr>
                  <w:rFonts w:hint="default" w:ascii="Times New Roman" w:hAnsi="Times New Roman" w:eastAsia="宋体" w:cs="Times New Roman"/>
                  <w:b w:val="0"/>
                  <w:bCs w:val="0"/>
                  <w:i w:val="0"/>
                  <w:sz w:val="32"/>
                  <w:szCs w:val="32"/>
                </w:rPr>
                <m:t>min</m:t>
              </m:r>
              <m:ctrlPr>
                <w:rPr>
                  <w:rFonts w:hint="default" w:ascii="Cambria Math" w:hAnsi="Cambria Math" w:eastAsia="宋体" w:cs="Times New Roman"/>
                  <w:b w:val="0"/>
                  <w:bCs w:val="0"/>
                  <w:sz w:val="32"/>
                  <w:szCs w:val="32"/>
                </w:rPr>
              </m:ctrlPr>
            </m:e>
            <m:lim>
              <m:r>
                <m:rPr>
                  <m:nor/>
                </m:rPr>
                <w:rPr>
                  <w:rFonts w:hint="default" w:ascii="Times New Roman" w:hAnsi="Times New Roman" w:eastAsia="宋体" w:cs="Times New Roman"/>
                  <w:b w:val="0"/>
                  <w:bCs w:val="0"/>
                  <w:i/>
                  <w:sz w:val="32"/>
                  <w:szCs w:val="32"/>
                </w:rPr>
                <m:t>λ</m:t>
              </m:r>
              <m:r>
                <m:rPr>
                  <m:nor/>
                  <m:sty m:val="p"/>
                </m:rPr>
                <w:rPr>
                  <w:rFonts w:hint="default" w:ascii="Times New Roman" w:hAnsi="Times New Roman" w:eastAsia="宋体" w:cs="Times New Roman"/>
                  <w:b w:val="0"/>
                  <w:bCs w:val="0"/>
                  <w:i w:val="0"/>
                  <w:sz w:val="32"/>
                  <w:szCs w:val="32"/>
                </w:rPr>
                <m:t>∈Λ</m:t>
              </m:r>
              <m:ctrlPr>
                <w:rPr>
                  <w:rFonts w:hint="default" w:ascii="Cambria Math" w:hAnsi="Cambria Math" w:eastAsia="宋体" w:cs="Times New Roman"/>
                  <w:b w:val="0"/>
                  <w:bCs w:val="0"/>
                  <w:sz w:val="32"/>
                  <w:szCs w:val="32"/>
                </w:rPr>
              </m:ctrlPr>
            </m:lim>
          </m:limLow>
          <m:r>
            <m:rPr>
              <m:nor/>
            </m:rPr>
            <w:rPr>
              <w:rFonts w:hint="default" w:ascii="Times New Roman" w:hAnsi="Times New Roman" w:eastAsia="宋体" w:cs="Times New Roman"/>
              <w:b w:val="0"/>
              <w:bCs w:val="0"/>
              <w:i/>
              <w:sz w:val="32"/>
              <w:szCs w:val="32"/>
            </w:rPr>
            <m:t>f</m:t>
          </m:r>
          <m:d>
            <m:dPr>
              <m:sepChr m:val=""/>
              <m:ctrlPr>
                <w:rPr>
                  <w:rFonts w:hint="default" w:ascii="Cambria Math" w:hAnsi="Cambria Math" w:eastAsia="宋体" w:cs="Times New Roman"/>
                  <w:b w:val="0"/>
                  <w:bCs w:val="0"/>
                  <w:sz w:val="32"/>
                  <w:szCs w:val="32"/>
                </w:rPr>
              </m:ctrlPr>
            </m:dPr>
            <m:e>
              <m:r>
                <m:rPr>
                  <m:nor/>
                </m:rPr>
                <w:rPr>
                  <w:rFonts w:hint="default" w:ascii="Times New Roman" w:hAnsi="Times New Roman" w:eastAsia="宋体" w:cs="Times New Roman"/>
                  <w:b w:val="0"/>
                  <w:bCs w:val="0"/>
                  <w:i/>
                  <w:sz w:val="32"/>
                  <w:szCs w:val="32"/>
                </w:rPr>
                <m:t>λ</m:t>
              </m:r>
              <m:ctrlPr>
                <w:rPr>
                  <w:rFonts w:hint="default" w:ascii="Cambria Math" w:hAnsi="Cambria Math" w:eastAsia="宋体" w:cs="Times New Roman"/>
                  <w:b w:val="0"/>
                  <w:bCs w:val="0"/>
                  <w:sz w:val="32"/>
                  <w:szCs w:val="32"/>
                </w:rPr>
              </m:ctrlPr>
            </m:e>
          </m:d>
        </m:oMath>
      </m:oMathPara>
    </w:p>
    <w:p w14:paraId="4CD84B41">
      <w:pPr>
        <w:pStyle w:val="2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其中，</w:t>
      </w:r>
      <m:oMath>
        <m:r>
          <m:rPr>
            <m:nor/>
          </m:rPr>
          <w:rPr>
            <w:rFonts w:hint="default" w:ascii="Times New Roman" w:hAnsi="Times New Roman" w:eastAsia="宋体" w:cs="Times New Roman"/>
            <w:b w:val="0"/>
            <w:bCs w:val="0"/>
            <w:i/>
            <w:sz w:val="24"/>
            <w:szCs w:val="24"/>
          </w:rPr>
          <m:t>λ</m:t>
        </m:r>
      </m:oMath>
      <w:r>
        <w:rPr>
          <w:rFonts w:hint="default" w:ascii="Times New Roman" w:hAnsi="Times New Roman" w:eastAsia="宋体" w:cs="Times New Roman"/>
          <w:b w:val="0"/>
          <w:bCs w:val="0"/>
          <w:sz w:val="24"/>
          <w:szCs w:val="24"/>
        </w:rPr>
        <w:t xml:space="preserve"> 表示一组超参数配置，</w:t>
      </w:r>
      <m:oMath>
        <m:r>
          <m:rPr>
            <m:nor/>
          </m:rPr>
          <w:rPr>
            <w:rFonts w:hint="default" w:ascii="Times New Roman" w:hAnsi="Times New Roman" w:eastAsia="宋体" w:cs="Times New Roman"/>
            <w:b w:val="0"/>
            <w:bCs w:val="0"/>
            <w:i/>
            <w:sz w:val="24"/>
            <w:szCs w:val="24"/>
          </w:rPr>
          <m:t>f</m:t>
        </m:r>
        <m:d>
          <m:dPr>
            <m:sepChr m:val=""/>
            <m:ctrlPr>
              <w:rPr>
                <w:rFonts w:hint="default" w:ascii="Cambria Math" w:hAnsi="Cambria Math" w:eastAsia="宋体" w:cs="Times New Roman"/>
                <w:b w:val="0"/>
                <w:bCs w:val="0"/>
                <w:sz w:val="24"/>
                <w:szCs w:val="24"/>
              </w:rPr>
            </m:ctrlPr>
          </m:dPr>
          <m:e>
            <m:r>
              <m:rPr>
                <m:nor/>
              </m:rPr>
              <w:rPr>
                <w:rFonts w:hint="default" w:ascii="Times New Roman" w:hAnsi="Times New Roman" w:eastAsia="宋体" w:cs="Times New Roman"/>
                <w:b w:val="0"/>
                <w:bCs w:val="0"/>
                <w:i/>
                <w:sz w:val="24"/>
                <w:szCs w:val="24"/>
              </w:rPr>
              <m:t>λ</m:t>
            </m:r>
            <m:ctrlPr>
              <w:rPr>
                <w:rFonts w:hint="default" w:ascii="Cambria Math" w:hAnsi="Cambria Math" w:eastAsia="宋体" w:cs="Times New Roman"/>
                <w:b w:val="0"/>
                <w:bCs w:val="0"/>
                <w:sz w:val="24"/>
                <w:szCs w:val="24"/>
              </w:rPr>
            </m:ctrlPr>
          </m:e>
        </m:d>
      </m:oMath>
      <w:r>
        <w:rPr>
          <w:rFonts w:hint="default" w:ascii="Times New Roman" w:hAnsi="Times New Roman" w:eastAsia="宋体" w:cs="Times New Roman"/>
          <w:b w:val="0"/>
          <w:bCs w:val="0"/>
          <w:sz w:val="24"/>
          <w:szCs w:val="24"/>
        </w:rPr>
        <w:t xml:space="preserve"> 表示该配置在验证集上的损失。与 grid search 遍历所有候选组合不同，BOHB 会根据历史实验结果建立概率模型，并优先选择更可能取得较好表现的配置：</w:t>
      </w:r>
    </w:p>
    <w:p w14:paraId="3919BC74">
      <w:pPr>
        <w:pStyle w:val="6"/>
        <w:rPr>
          <w:rFonts w:hint="default" w:ascii="Times New Roman" w:hAnsi="Times New Roman" w:eastAsia="宋体" w:cs="Times New Roman"/>
          <w:b w:val="0"/>
          <w:bCs w:val="0"/>
          <w:sz w:val="24"/>
          <w:szCs w:val="24"/>
        </w:rPr>
      </w:pPr>
      <m:oMathPara>
        <m:oMathParaPr>
          <m:jc m:val="center"/>
        </m:oMathParaPr>
        <m:oMath>
          <m:sSub>
            <m:sSubPr>
              <m:ctrlPr>
                <w:rPr>
                  <w:rFonts w:hint="default" w:ascii="Cambria Math" w:hAnsi="Cambria Math" w:eastAsia="宋体" w:cs="Times New Roman"/>
                  <w:b w:val="0"/>
                  <w:bCs w:val="0"/>
                  <w:sz w:val="32"/>
                  <w:szCs w:val="32"/>
                </w:rPr>
              </m:ctrlPr>
            </m:sSubPr>
            <m:e>
              <m:r>
                <m:rPr>
                  <m:nor/>
                </m:rPr>
                <w:rPr>
                  <w:rFonts w:hint="default" w:ascii="Times New Roman" w:hAnsi="Times New Roman" w:eastAsia="宋体" w:cs="Times New Roman"/>
                  <w:b w:val="0"/>
                  <w:bCs w:val="0"/>
                  <w:i/>
                  <w:sz w:val="32"/>
                  <w:szCs w:val="32"/>
                </w:rPr>
                <m:t>λ</m:t>
              </m:r>
              <m:ctrlPr>
                <w:rPr>
                  <w:rFonts w:hint="default" w:ascii="Cambria Math" w:hAnsi="Cambria Math" w:eastAsia="宋体" w:cs="Times New Roman"/>
                  <w:b w:val="0"/>
                  <w:bCs w:val="0"/>
                  <w:sz w:val="32"/>
                  <w:szCs w:val="32"/>
                </w:rPr>
              </m:ctrlPr>
            </m:e>
            <m:sub>
              <m:r>
                <m:rPr>
                  <m:nor/>
                  <m:sty m:val="p"/>
                </m:rPr>
                <w:rPr>
                  <w:rFonts w:hint="default" w:ascii="Times New Roman" w:hAnsi="Times New Roman" w:eastAsia="宋体" w:cs="Times New Roman"/>
                  <w:b w:val="0"/>
                  <w:bCs w:val="0"/>
                  <w:i w:val="0"/>
                  <w:sz w:val="32"/>
                  <w:szCs w:val="32"/>
                </w:rPr>
                <m:t>new</m:t>
              </m:r>
              <m:ctrlPr>
                <w:rPr>
                  <w:rFonts w:hint="default" w:ascii="Cambria Math" w:hAnsi="Cambria Math" w:eastAsia="宋体" w:cs="Times New Roman"/>
                  <w:b w:val="0"/>
                  <w:bCs w:val="0"/>
                  <w:sz w:val="32"/>
                  <w:szCs w:val="32"/>
                </w:rPr>
              </m:ctrlPr>
            </m:sub>
          </m:sSub>
          <m:r>
            <m:rPr>
              <m:nor/>
              <m:sty m:val="p"/>
            </m:rPr>
            <w:rPr>
              <w:rFonts w:hint="default" w:ascii="Times New Roman" w:hAnsi="Times New Roman" w:eastAsia="宋体" w:cs="Times New Roman"/>
              <w:b w:val="0"/>
              <w:bCs w:val="0"/>
              <w:i w:val="0"/>
              <w:sz w:val="32"/>
              <w:szCs w:val="32"/>
            </w:rPr>
            <m:t>=arg</m:t>
          </m:r>
          <m:limLow>
            <m:limLowPr>
              <m:ctrlPr>
                <w:rPr>
                  <w:rFonts w:hint="default" w:ascii="Cambria Math" w:hAnsi="Cambria Math" w:eastAsia="宋体" w:cs="Times New Roman"/>
                  <w:b w:val="0"/>
                  <w:bCs w:val="0"/>
                  <w:sz w:val="32"/>
                  <w:szCs w:val="32"/>
                </w:rPr>
              </m:ctrlPr>
            </m:limLowPr>
            <m:e>
              <m:r>
                <m:rPr>
                  <m:nor/>
                  <m:sty m:val="p"/>
                </m:rPr>
                <w:rPr>
                  <w:rFonts w:hint="default" w:ascii="Times New Roman" w:hAnsi="Times New Roman" w:eastAsia="宋体" w:cs="Times New Roman"/>
                  <w:b w:val="0"/>
                  <w:bCs w:val="0"/>
                  <w:i w:val="0"/>
                  <w:sz w:val="32"/>
                  <w:szCs w:val="32"/>
                </w:rPr>
                <m:t>max</m:t>
              </m:r>
              <m:ctrlPr>
                <w:rPr>
                  <w:rFonts w:hint="default" w:ascii="Cambria Math" w:hAnsi="Cambria Math" w:eastAsia="宋体" w:cs="Times New Roman"/>
                  <w:b w:val="0"/>
                  <w:bCs w:val="0"/>
                  <w:sz w:val="32"/>
                  <w:szCs w:val="32"/>
                </w:rPr>
              </m:ctrlPr>
            </m:e>
            <m:lim>
              <m:r>
                <m:rPr>
                  <m:nor/>
                </m:rPr>
                <w:rPr>
                  <w:rFonts w:hint="default" w:ascii="Times New Roman" w:hAnsi="Times New Roman" w:eastAsia="宋体" w:cs="Times New Roman"/>
                  <w:b w:val="0"/>
                  <w:bCs w:val="0"/>
                  <w:i/>
                  <w:sz w:val="32"/>
                  <w:szCs w:val="32"/>
                </w:rPr>
                <m:t>λ</m:t>
              </m:r>
              <m:ctrlPr>
                <w:rPr>
                  <w:rFonts w:hint="default" w:ascii="Cambria Math" w:hAnsi="Cambria Math" w:eastAsia="宋体" w:cs="Times New Roman"/>
                  <w:b w:val="0"/>
                  <w:bCs w:val="0"/>
                  <w:sz w:val="32"/>
                  <w:szCs w:val="32"/>
                </w:rPr>
              </m:ctrlPr>
            </m:lim>
          </m:limLow>
          <m:f>
            <m:fPr>
              <m:ctrlPr>
                <w:rPr>
                  <w:rFonts w:hint="default" w:ascii="Cambria Math" w:hAnsi="Cambria Math" w:eastAsia="宋体" w:cs="Times New Roman"/>
                  <w:b w:val="0"/>
                  <w:bCs w:val="0"/>
                  <w:sz w:val="32"/>
                  <w:szCs w:val="32"/>
                </w:rPr>
              </m:ctrlPr>
            </m:fPr>
            <m:num>
              <m:r>
                <m:rPr>
                  <m:nor/>
                </m:rPr>
                <w:rPr>
                  <w:rFonts w:hint="default" w:ascii="Times New Roman" w:hAnsi="Times New Roman" w:eastAsia="宋体" w:cs="Times New Roman"/>
                  <w:b w:val="0"/>
                  <w:bCs w:val="0"/>
                  <w:i/>
                  <w:sz w:val="32"/>
                  <w:szCs w:val="32"/>
                </w:rPr>
                <m:t>l</m:t>
              </m:r>
              <m:d>
                <m:dPr>
                  <m:sepChr m:val=""/>
                  <m:ctrlPr>
                    <w:rPr>
                      <w:rFonts w:hint="default" w:ascii="Cambria Math" w:hAnsi="Cambria Math" w:eastAsia="宋体" w:cs="Times New Roman"/>
                      <w:b w:val="0"/>
                      <w:bCs w:val="0"/>
                      <w:sz w:val="32"/>
                      <w:szCs w:val="32"/>
                    </w:rPr>
                  </m:ctrlPr>
                </m:dPr>
                <m:e>
                  <m:r>
                    <m:rPr>
                      <m:nor/>
                    </m:rPr>
                    <w:rPr>
                      <w:rFonts w:hint="default" w:ascii="Times New Roman" w:hAnsi="Times New Roman" w:eastAsia="宋体" w:cs="Times New Roman"/>
                      <w:b w:val="0"/>
                      <w:bCs w:val="0"/>
                      <w:i/>
                      <w:sz w:val="32"/>
                      <w:szCs w:val="32"/>
                    </w:rPr>
                    <m:t>λ</m:t>
                  </m:r>
                  <m:ctrlPr>
                    <w:rPr>
                      <w:rFonts w:hint="default" w:ascii="Cambria Math" w:hAnsi="Cambria Math" w:eastAsia="宋体" w:cs="Times New Roman"/>
                      <w:b w:val="0"/>
                      <w:bCs w:val="0"/>
                      <w:sz w:val="32"/>
                      <w:szCs w:val="32"/>
                    </w:rPr>
                  </m:ctrlPr>
                </m:e>
              </m:d>
              <m:ctrlPr>
                <w:rPr>
                  <w:rFonts w:hint="default" w:ascii="Cambria Math" w:hAnsi="Cambria Math" w:eastAsia="宋体" w:cs="Times New Roman"/>
                  <w:b w:val="0"/>
                  <w:bCs w:val="0"/>
                  <w:sz w:val="32"/>
                  <w:szCs w:val="32"/>
                </w:rPr>
              </m:ctrlPr>
            </m:num>
            <m:den>
              <m:r>
                <m:rPr>
                  <m:nor/>
                </m:rPr>
                <w:rPr>
                  <w:rFonts w:hint="default" w:ascii="Times New Roman" w:hAnsi="Times New Roman" w:eastAsia="宋体" w:cs="Times New Roman"/>
                  <w:b w:val="0"/>
                  <w:bCs w:val="0"/>
                  <w:i/>
                  <w:sz w:val="32"/>
                  <w:szCs w:val="32"/>
                </w:rPr>
                <m:t>g</m:t>
              </m:r>
              <m:d>
                <m:dPr>
                  <m:sepChr m:val=""/>
                  <m:ctrlPr>
                    <w:rPr>
                      <w:rFonts w:hint="default" w:ascii="Cambria Math" w:hAnsi="Cambria Math" w:eastAsia="宋体" w:cs="Times New Roman"/>
                      <w:b w:val="0"/>
                      <w:bCs w:val="0"/>
                      <w:sz w:val="32"/>
                      <w:szCs w:val="32"/>
                    </w:rPr>
                  </m:ctrlPr>
                </m:dPr>
                <m:e>
                  <m:r>
                    <m:rPr>
                      <m:nor/>
                    </m:rPr>
                    <w:rPr>
                      <w:rFonts w:hint="default" w:ascii="Times New Roman" w:hAnsi="Times New Roman" w:eastAsia="宋体" w:cs="Times New Roman"/>
                      <w:b w:val="0"/>
                      <w:bCs w:val="0"/>
                      <w:i/>
                      <w:sz w:val="32"/>
                      <w:szCs w:val="32"/>
                    </w:rPr>
                    <m:t>λ</m:t>
                  </m:r>
                  <m:ctrlPr>
                    <w:rPr>
                      <w:rFonts w:hint="default" w:ascii="Cambria Math" w:hAnsi="Cambria Math" w:eastAsia="宋体" w:cs="Times New Roman"/>
                      <w:b w:val="0"/>
                      <w:bCs w:val="0"/>
                      <w:sz w:val="32"/>
                      <w:szCs w:val="32"/>
                    </w:rPr>
                  </m:ctrlPr>
                </m:e>
              </m:d>
              <m:ctrlPr>
                <w:rPr>
                  <w:rFonts w:hint="default" w:ascii="Cambria Math" w:hAnsi="Cambria Math" w:eastAsia="宋体" w:cs="Times New Roman"/>
                  <w:b w:val="0"/>
                  <w:bCs w:val="0"/>
                  <w:sz w:val="32"/>
                  <w:szCs w:val="32"/>
                </w:rPr>
              </m:ctrlPr>
            </m:den>
          </m:f>
        </m:oMath>
      </m:oMathPara>
    </w:p>
    <w:p w14:paraId="534DBB1E">
      <w:pPr>
        <w:pStyle w:val="2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其中，</w:t>
      </w:r>
      <m:oMath>
        <m:r>
          <m:rPr>
            <m:nor/>
          </m:rPr>
          <w:rPr>
            <w:rFonts w:hint="default" w:ascii="Times New Roman" w:hAnsi="Times New Roman" w:eastAsia="宋体" w:cs="Times New Roman"/>
            <w:b w:val="0"/>
            <w:bCs w:val="0"/>
            <w:i/>
            <w:sz w:val="24"/>
            <w:szCs w:val="24"/>
          </w:rPr>
          <m:t>l</m:t>
        </m:r>
        <m:d>
          <m:dPr>
            <m:sepChr m:val=""/>
            <m:ctrlPr>
              <w:rPr>
                <w:rFonts w:hint="default" w:ascii="Cambria Math" w:hAnsi="Cambria Math" w:eastAsia="宋体" w:cs="Times New Roman"/>
                <w:b w:val="0"/>
                <w:bCs w:val="0"/>
                <w:sz w:val="24"/>
                <w:szCs w:val="24"/>
              </w:rPr>
            </m:ctrlPr>
          </m:dPr>
          <m:e>
            <m:r>
              <m:rPr>
                <m:nor/>
              </m:rPr>
              <w:rPr>
                <w:rFonts w:hint="default" w:ascii="Times New Roman" w:hAnsi="Times New Roman" w:eastAsia="宋体" w:cs="Times New Roman"/>
                <w:b w:val="0"/>
                <w:bCs w:val="0"/>
                <w:i/>
                <w:sz w:val="24"/>
                <w:szCs w:val="24"/>
              </w:rPr>
              <m:t>λ</m:t>
            </m:r>
            <m:ctrlPr>
              <w:rPr>
                <w:rFonts w:hint="default" w:ascii="Cambria Math" w:hAnsi="Cambria Math" w:eastAsia="宋体" w:cs="Times New Roman"/>
                <w:b w:val="0"/>
                <w:bCs w:val="0"/>
                <w:sz w:val="24"/>
                <w:szCs w:val="24"/>
              </w:rPr>
            </m:ctrlPr>
          </m:e>
        </m:d>
      </m:oMath>
      <w:r>
        <w:rPr>
          <w:rFonts w:hint="default" w:ascii="Times New Roman" w:hAnsi="Times New Roman" w:eastAsia="宋体" w:cs="Times New Roman"/>
          <w:b w:val="0"/>
          <w:bCs w:val="0"/>
          <w:sz w:val="24"/>
          <w:szCs w:val="24"/>
        </w:rPr>
        <w:t xml:space="preserve"> 表示较优配置的概率密度，</w:t>
      </w:r>
      <m:oMath>
        <m:r>
          <m:rPr>
            <m:nor/>
          </m:rPr>
          <w:rPr>
            <w:rFonts w:hint="default" w:ascii="Times New Roman" w:hAnsi="Times New Roman" w:eastAsia="宋体" w:cs="Times New Roman"/>
            <w:b w:val="0"/>
            <w:bCs w:val="0"/>
            <w:i/>
            <w:sz w:val="24"/>
            <w:szCs w:val="24"/>
          </w:rPr>
          <m:t>g</m:t>
        </m:r>
        <m:d>
          <m:dPr>
            <m:sepChr m:val=""/>
            <m:ctrlPr>
              <w:rPr>
                <w:rFonts w:hint="default" w:ascii="Cambria Math" w:hAnsi="Cambria Math" w:eastAsia="宋体" w:cs="Times New Roman"/>
                <w:b w:val="0"/>
                <w:bCs w:val="0"/>
                <w:sz w:val="24"/>
                <w:szCs w:val="24"/>
              </w:rPr>
            </m:ctrlPr>
          </m:dPr>
          <m:e>
            <m:r>
              <m:rPr>
                <m:nor/>
              </m:rPr>
              <w:rPr>
                <w:rFonts w:hint="default" w:ascii="Times New Roman" w:hAnsi="Times New Roman" w:eastAsia="宋体" w:cs="Times New Roman"/>
                <w:b w:val="0"/>
                <w:bCs w:val="0"/>
                <w:i/>
                <w:sz w:val="24"/>
                <w:szCs w:val="24"/>
              </w:rPr>
              <m:t>λ</m:t>
            </m:r>
            <m:ctrlPr>
              <w:rPr>
                <w:rFonts w:hint="default" w:ascii="Cambria Math" w:hAnsi="Cambria Math" w:eastAsia="宋体" w:cs="Times New Roman"/>
                <w:b w:val="0"/>
                <w:bCs w:val="0"/>
                <w:sz w:val="24"/>
                <w:szCs w:val="24"/>
              </w:rPr>
            </m:ctrlPr>
          </m:e>
        </m:d>
      </m:oMath>
      <w:r>
        <w:rPr>
          <w:rFonts w:hint="default" w:ascii="Times New Roman" w:hAnsi="Times New Roman" w:eastAsia="宋体" w:cs="Times New Roman"/>
          <w:b w:val="0"/>
          <w:bCs w:val="0"/>
          <w:sz w:val="24"/>
          <w:szCs w:val="24"/>
        </w:rPr>
        <w:t xml:space="preserve"> 表示较差配置的概率密度。直观上，BOHB 会选择“更像好配置、而不像差配置”的超参数组合，并结合 Hyperband 的早停机制，将更多训练资源分配给有潜力的配置，从而降低大模型微调中的调参成本。</w:t>
      </w:r>
    </w:p>
    <w:p w14:paraId="71096C55">
      <w:pPr>
        <w:pStyle w:val="20"/>
        <w:ind w:firstLine="420" w:firstLineChars="0"/>
        <w:rPr>
          <w:rFonts w:hint="eastAsia" w:ascii="宋体" w:hAnsi="宋体" w:eastAsia="宋体" w:cs="宋体"/>
          <w:b w:val="0"/>
          <w:bCs w:val="0"/>
          <w:sz w:val="24"/>
          <w:szCs w:val="24"/>
        </w:rPr>
      </w:pPr>
      <w:r>
        <w:rPr>
          <w:rFonts w:hint="default" w:ascii="Times New Roman" w:hAnsi="Times New Roman" w:eastAsia="宋体" w:cs="Times New Roman"/>
          <w:b w:val="0"/>
          <w:bCs w:val="0"/>
          <w:sz w:val="24"/>
          <w:szCs w:val="24"/>
        </w:rPr>
        <w:t>因此，本研究将 BOHB 用于 LoRA rank、LoRA alpha、learning rate、warmup ratio、NEFTune alpha 和 R-Drop KL weight</w:t>
      </w:r>
      <w:r>
        <w:rPr>
          <w:rFonts w:hint="eastAsia" w:ascii="宋体" w:hAnsi="宋体" w:eastAsia="宋体" w:cs="宋体"/>
          <w:b w:val="0"/>
          <w:bCs w:val="0"/>
          <w:sz w:val="24"/>
          <w:szCs w:val="24"/>
        </w:rPr>
        <w:t xml:space="preserve"> 等参数的系统调优。</w:t>
      </w:r>
    </w:p>
    <w:p w14:paraId="339FD205">
      <w:pPr>
        <w:pStyle w:val="6"/>
        <w:ind w:firstLine="420" w:firstLineChars="0"/>
        <w:rPr>
          <w:rFonts w:hint="eastAsia"/>
        </w:rPr>
      </w:pPr>
      <w:r>
        <w:rPr>
          <w:rFonts w:ascii="宋体" w:hAnsi="宋体" w:eastAsia="宋体" w:cs="宋体"/>
          <w:sz w:val="24"/>
          <w:szCs w:val="24"/>
        </w:rPr>
        <w:t>基于 LLaMA-Factory 框架，</w:t>
      </w:r>
      <w:r>
        <w:rPr>
          <w:rFonts w:hint="eastAsia" w:ascii="宋体" w:hAnsi="宋体" w:eastAsia="宋体" w:cs="宋体"/>
          <w:sz w:val="24"/>
          <w:szCs w:val="24"/>
          <w:lang w:val="en-US" w:eastAsia="zh-CN"/>
        </w:rPr>
        <w:t>本研究</w:t>
      </w:r>
      <w:r>
        <w:rPr>
          <w:rFonts w:ascii="宋体" w:hAnsi="宋体" w:eastAsia="宋体" w:cs="宋体"/>
          <w:sz w:val="24"/>
          <w:szCs w:val="24"/>
        </w:rPr>
        <w:t>对 LLaMA3-8B（GPTQ + LoRA）模型开展第一轮 BOHB 超参数短训练实验，以初步筛选较优的基础微调参数组合。研究围绕 LoRA rank、LoRA alpha、LoRA dropout、learning rate、warmup ratio 和 lr scheduler 等 LoRA 结构参数与优化过程参数构建 12 组 BOHB-style 候选配置。实验前，本文修复了 BOHB 启动路径、模型路径与 YAML 配置兼容性问题，并验证了 LLaMA-Factory 中 dataclass/YAML 参数解析流程，确保各候选配置能够被正确读取和执行。随后，bohb_01 至 bohb_12 均成功完成短训，并保存对应的训练结果、日志文件与输出目录。在结果整理阶段，本文提取各配置目录下的 train_results.json，并解析对应 YAML 文件中的关键超参数，将训练损失、验证损失、吞吐速度和参数配置合并生成对比表与可视化图表。最后，本文以 eval_loss 作为主要筛选标准，同时比较 train_loss 与 eval_loss 并计算 generalization gap，以避免仅依据训练损失做出过拟合选择；进一步从 LoRA 参数、学习率、warmup ratio 和 scheduler 等维度分析超参数变化对验证损失的影响，从而确定 Stage 2 的基础配置。</w:t>
      </w:r>
    </w:p>
    <w:p w14:paraId="38903AB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drawing>
          <wp:inline distT="0" distB="0" distL="114300" distR="114300">
            <wp:extent cx="6266815" cy="3759835"/>
            <wp:effectExtent l="0" t="0" r="508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6266815" cy="3759835"/>
                    </a:xfrm>
                    <a:prstGeom prst="rect">
                      <a:avLst/>
                    </a:prstGeom>
                    <a:noFill/>
                    <a:ln>
                      <a:noFill/>
                    </a:ln>
                  </pic:spPr>
                </pic:pic>
              </a:graphicData>
            </a:graphic>
          </wp:inline>
        </w:drawing>
      </w:r>
    </w:p>
    <w:p w14:paraId="0244E174">
      <w:pPr>
        <w:ind w:left="3360" w:leftChars="0" w:firstLine="420" w:firstLineChars="0"/>
        <w:jc w:val="both"/>
        <w:rPr>
          <w:rStyle w:val="14"/>
          <w:rFonts w:hint="eastAsia" w:ascii="宋体" w:hAnsi="宋体" w:eastAsia="宋体" w:cs="宋体"/>
          <w:b w:val="0"/>
          <w:bCs w:val="0"/>
          <w:sz w:val="24"/>
          <w:szCs w:val="24"/>
          <w:lang w:val="en-US" w:eastAsia="zh-CN"/>
        </w:rPr>
      </w:pPr>
      <w:r>
        <w:rPr>
          <w:rFonts w:hint="eastAsia" w:ascii="宋体" w:hAnsi="宋体" w:eastAsia="宋体" w:cs="宋体"/>
          <w:b w:val="0"/>
          <w:bCs w:val="0"/>
          <w:sz w:val="22"/>
          <w:szCs w:val="22"/>
          <w:lang w:val="en-US" w:eastAsia="zh-CN"/>
        </w:rPr>
        <w:t>图7 eval loss ranking</w:t>
      </w:r>
    </w:p>
    <w:p w14:paraId="472D36A4">
      <w:pPr>
        <w:ind w:firstLine="420" w:firstLineChars="0"/>
        <w:rPr>
          <w:rFonts w:hint="eastAsia" w:ascii="宋体" w:hAnsi="宋体" w:eastAsia="宋体" w:cs="宋体"/>
          <w:b w:val="0"/>
          <w:bCs w:val="0"/>
          <w:sz w:val="24"/>
          <w:szCs w:val="24"/>
        </w:rPr>
      </w:pPr>
      <w:r>
        <w:rPr>
          <w:rStyle w:val="14"/>
          <w:rFonts w:hint="eastAsia" w:ascii="宋体" w:hAnsi="宋体" w:eastAsia="宋体" w:cs="宋体"/>
          <w:b w:val="0"/>
          <w:bCs w:val="0"/>
          <w:sz w:val="24"/>
          <w:szCs w:val="24"/>
          <w:lang w:val="en-US" w:eastAsia="zh-CN"/>
        </w:rPr>
        <w:t>由图7，</w:t>
      </w:r>
      <w:r>
        <w:rPr>
          <w:rStyle w:val="14"/>
          <w:rFonts w:hint="eastAsia" w:ascii="宋体" w:hAnsi="宋体" w:eastAsia="宋体" w:cs="宋体"/>
          <w:b w:val="0"/>
          <w:bCs w:val="0"/>
          <w:sz w:val="24"/>
          <w:szCs w:val="24"/>
        </w:rPr>
        <w:t xml:space="preserve">bohb_03 </w:t>
      </w:r>
      <w:r>
        <w:rPr>
          <w:rStyle w:val="14"/>
          <w:rFonts w:hint="eastAsia" w:ascii="宋体" w:hAnsi="宋体" w:eastAsia="宋体" w:cs="宋体"/>
          <w:b w:val="0"/>
          <w:bCs w:val="0"/>
          <w:sz w:val="24"/>
          <w:szCs w:val="24"/>
          <w:lang w:val="en-US" w:eastAsia="zh-CN"/>
        </w:rPr>
        <w:t>的</w:t>
      </w:r>
      <w:r>
        <w:rPr>
          <w:rStyle w:val="14"/>
          <w:rFonts w:hint="eastAsia" w:ascii="宋体" w:hAnsi="宋体" w:eastAsia="宋体" w:cs="宋体"/>
          <w:b w:val="0"/>
          <w:bCs w:val="0"/>
          <w:sz w:val="24"/>
          <w:szCs w:val="24"/>
        </w:rPr>
        <w:t xml:space="preserve"> eval_loss 最低，但它和 bohb_05、bohb_10、bohb_09、bohb_07 的差距并不是特别大</w:t>
      </w:r>
      <w:r>
        <w:rPr>
          <w:rFonts w:hint="eastAsia" w:ascii="宋体" w:hAnsi="宋体" w:eastAsia="宋体" w:cs="宋体"/>
          <w:b w:val="0"/>
          <w:bCs w:val="0"/>
          <w:sz w:val="24"/>
          <w:szCs w:val="24"/>
        </w:rPr>
        <w:t>。</w:t>
      </w:r>
    </w:p>
    <w:p w14:paraId="389B90BE">
      <w:pPr>
        <w:rPr>
          <w:rFonts w:hint="eastAsia" w:ascii="宋体" w:hAnsi="宋体" w:eastAsia="宋体" w:cs="宋体"/>
          <w:b w:val="0"/>
          <w:bCs w:val="0"/>
          <w:sz w:val="24"/>
          <w:szCs w:val="24"/>
        </w:rPr>
      </w:pPr>
      <w:r>
        <w:rPr>
          <w:rFonts w:hint="eastAsia" w:ascii="宋体" w:hAnsi="宋体" w:eastAsia="宋体" w:cs="宋体"/>
          <w:b w:val="0"/>
          <w:bCs w:val="0"/>
          <w:sz w:val="24"/>
          <w:szCs w:val="24"/>
        </w:rPr>
        <w:drawing>
          <wp:inline distT="0" distB="0" distL="114300" distR="114300">
            <wp:extent cx="6266180" cy="274193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6266180" cy="2741930"/>
                    </a:xfrm>
                    <a:prstGeom prst="rect">
                      <a:avLst/>
                    </a:prstGeom>
                    <a:noFill/>
                    <a:ln>
                      <a:noFill/>
                    </a:ln>
                  </pic:spPr>
                </pic:pic>
              </a:graphicData>
            </a:graphic>
          </wp:inline>
        </w:drawing>
      </w:r>
    </w:p>
    <w:p w14:paraId="7243A69D">
      <w:pPr>
        <w:jc w:val="center"/>
        <w:rPr>
          <w:rFonts w:hint="eastAsia" w:ascii="宋体" w:hAnsi="宋体" w:eastAsia="宋体" w:cs="宋体"/>
          <w:b w:val="0"/>
          <w:bCs w:val="0"/>
          <w:sz w:val="22"/>
          <w:szCs w:val="22"/>
        </w:rPr>
      </w:pPr>
      <w:r>
        <w:rPr>
          <w:rFonts w:hint="eastAsia" w:ascii="宋体" w:hAnsi="宋体" w:eastAsia="宋体" w:cs="宋体"/>
          <w:b w:val="0"/>
          <w:bCs w:val="0"/>
          <w:sz w:val="22"/>
          <w:szCs w:val="22"/>
          <w:lang w:val="en-US" w:eastAsia="zh-CN"/>
        </w:rPr>
        <w:t xml:space="preserve">图8 </w:t>
      </w:r>
      <w:r>
        <w:rPr>
          <w:rFonts w:hint="eastAsia" w:ascii="宋体" w:hAnsi="宋体" w:eastAsia="宋体" w:cs="宋体"/>
          <w:b w:val="0"/>
          <w:bCs w:val="0"/>
          <w:sz w:val="22"/>
          <w:szCs w:val="22"/>
        </w:rPr>
        <w:t>Train loss vs Eval loss</w:t>
      </w:r>
    </w:p>
    <w:p w14:paraId="08E3D24B">
      <w:pPr>
        <w:pStyle w:val="10"/>
        <w:keepNext w:val="0"/>
        <w:keepLines w:val="0"/>
        <w:widowControl/>
        <w:suppressLineNumbers w:val="0"/>
        <w:spacing w:before="0" w:beforeAutospacing="1" w:after="0" w:afterAutospacing="1"/>
        <w:ind w:left="0" w:right="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图</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 xml:space="preserve">中比较了 12 组 Stage 1 BOHB 候选配置的训练损失与验证损失。整体来看，各组配置的 </w:t>
      </w:r>
      <w:r>
        <w:rPr>
          <w:rStyle w:val="15"/>
          <w:rFonts w:hint="eastAsia" w:ascii="宋体" w:hAnsi="宋体" w:eastAsia="宋体" w:cs="宋体"/>
          <w:b w:val="0"/>
          <w:bCs w:val="0"/>
          <w:sz w:val="24"/>
          <w:szCs w:val="24"/>
        </w:rPr>
        <w:t>eval_loss</w:t>
      </w:r>
      <w:r>
        <w:rPr>
          <w:rFonts w:hint="eastAsia" w:ascii="宋体" w:hAnsi="宋体" w:eastAsia="宋体" w:cs="宋体"/>
          <w:b w:val="0"/>
          <w:bCs w:val="0"/>
          <w:sz w:val="24"/>
          <w:szCs w:val="24"/>
        </w:rPr>
        <w:t xml:space="preserve"> 均低于对应的 </w:t>
      </w:r>
      <w:r>
        <w:rPr>
          <w:rStyle w:val="15"/>
          <w:rFonts w:hint="eastAsia" w:ascii="宋体" w:hAnsi="宋体" w:eastAsia="宋体" w:cs="宋体"/>
          <w:b w:val="0"/>
          <w:bCs w:val="0"/>
          <w:sz w:val="24"/>
          <w:szCs w:val="24"/>
        </w:rPr>
        <w:t>train_loss</w:t>
      </w:r>
      <w:r>
        <w:rPr>
          <w:rFonts w:hint="eastAsia" w:ascii="宋体" w:hAnsi="宋体" w:eastAsia="宋体" w:cs="宋体"/>
          <w:b w:val="0"/>
          <w:bCs w:val="0"/>
          <w:sz w:val="24"/>
          <w:szCs w:val="24"/>
        </w:rPr>
        <w:t>，说明本阶段短训过程中没有出现典型的过拟合现象，即不存在“训练集 loss 很低但验证集 loss 明显升高”的情况。这表明在 GPTQ 量化后的 LLaMA3-8B 上进行 LoRA 微调时，当前候选配置整体具有较稳定的泛化表现。</w:t>
      </w:r>
    </w:p>
    <w:p w14:paraId="06212591">
      <w:pPr>
        <w:pStyle w:val="10"/>
        <w:keepNext w:val="0"/>
        <w:keepLines w:val="0"/>
        <w:widowControl/>
        <w:suppressLineNumbers w:val="0"/>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从不同候选配置之间的比较来看，</w:t>
      </w:r>
      <w:r>
        <w:rPr>
          <w:rStyle w:val="15"/>
          <w:rFonts w:hint="eastAsia" w:ascii="宋体" w:hAnsi="宋体" w:eastAsia="宋体" w:cs="宋体"/>
          <w:b w:val="0"/>
          <w:bCs w:val="0"/>
          <w:sz w:val="24"/>
          <w:szCs w:val="24"/>
        </w:rPr>
        <w:t>bohb_03</w:t>
      </w:r>
      <w:r>
        <w:rPr>
          <w:rFonts w:hint="eastAsia" w:ascii="宋体" w:hAnsi="宋体" w:eastAsia="宋体" w:cs="宋体"/>
          <w:b w:val="0"/>
          <w:bCs w:val="0"/>
          <w:sz w:val="24"/>
          <w:szCs w:val="24"/>
        </w:rPr>
        <w:t>、</w:t>
      </w:r>
      <w:r>
        <w:rPr>
          <w:rStyle w:val="15"/>
          <w:rFonts w:hint="eastAsia" w:ascii="宋体" w:hAnsi="宋体" w:eastAsia="宋体" w:cs="宋体"/>
          <w:b w:val="0"/>
          <w:bCs w:val="0"/>
          <w:sz w:val="24"/>
          <w:szCs w:val="24"/>
        </w:rPr>
        <w:t>bohb_05</w:t>
      </w:r>
      <w:r>
        <w:rPr>
          <w:rFonts w:hint="eastAsia" w:ascii="宋体" w:hAnsi="宋体" w:eastAsia="宋体" w:cs="宋体"/>
          <w:b w:val="0"/>
          <w:bCs w:val="0"/>
          <w:sz w:val="24"/>
          <w:szCs w:val="24"/>
        </w:rPr>
        <w:t xml:space="preserve"> 和 </w:t>
      </w:r>
      <w:r>
        <w:rPr>
          <w:rStyle w:val="15"/>
          <w:rFonts w:hint="eastAsia" w:ascii="宋体" w:hAnsi="宋体" w:eastAsia="宋体" w:cs="宋体"/>
          <w:b w:val="0"/>
          <w:bCs w:val="0"/>
          <w:sz w:val="24"/>
          <w:szCs w:val="24"/>
        </w:rPr>
        <w:t>bohb_10</w:t>
      </w:r>
      <w:r>
        <w:rPr>
          <w:rFonts w:hint="eastAsia" w:ascii="宋体" w:hAnsi="宋体" w:eastAsia="宋体" w:cs="宋体"/>
          <w:b w:val="0"/>
          <w:bCs w:val="0"/>
          <w:sz w:val="24"/>
          <w:szCs w:val="24"/>
        </w:rPr>
        <w:t xml:space="preserve"> 的验证损失相对较低，其中 </w:t>
      </w:r>
      <w:r>
        <w:rPr>
          <w:rStyle w:val="15"/>
          <w:rFonts w:hint="eastAsia" w:ascii="宋体" w:hAnsi="宋体" w:eastAsia="宋体" w:cs="宋体"/>
          <w:b w:val="0"/>
          <w:bCs w:val="0"/>
          <w:sz w:val="24"/>
          <w:szCs w:val="24"/>
        </w:rPr>
        <w:t>bohb_03</w:t>
      </w:r>
      <w:r>
        <w:rPr>
          <w:rFonts w:hint="eastAsia" w:ascii="宋体" w:hAnsi="宋体" w:eastAsia="宋体" w:cs="宋体"/>
          <w:b w:val="0"/>
          <w:bCs w:val="0"/>
          <w:sz w:val="24"/>
          <w:szCs w:val="24"/>
        </w:rPr>
        <w:t xml:space="preserve"> 的 </w:t>
      </w:r>
      <w:r>
        <w:rPr>
          <w:rStyle w:val="15"/>
          <w:rFonts w:hint="eastAsia" w:ascii="宋体" w:hAnsi="宋体" w:eastAsia="宋体" w:cs="宋体"/>
          <w:b w:val="0"/>
          <w:bCs w:val="0"/>
          <w:sz w:val="24"/>
          <w:szCs w:val="24"/>
        </w:rPr>
        <w:t>eval_loss</w:t>
      </w:r>
      <w:r>
        <w:rPr>
          <w:rFonts w:hint="eastAsia" w:ascii="宋体" w:hAnsi="宋体" w:eastAsia="宋体" w:cs="宋体"/>
          <w:b w:val="0"/>
          <w:bCs w:val="0"/>
          <w:sz w:val="24"/>
          <w:szCs w:val="24"/>
        </w:rPr>
        <w:t xml:space="preserve"> 最低，说明该配置在验证集上的表现最好。相比之下，</w:t>
      </w:r>
      <w:r>
        <w:rPr>
          <w:rStyle w:val="15"/>
          <w:rFonts w:hint="eastAsia" w:ascii="宋体" w:hAnsi="宋体" w:eastAsia="宋体" w:cs="宋体"/>
          <w:b w:val="0"/>
          <w:bCs w:val="0"/>
          <w:sz w:val="24"/>
          <w:szCs w:val="24"/>
        </w:rPr>
        <w:t>bohb_01</w:t>
      </w:r>
      <w:r>
        <w:rPr>
          <w:rFonts w:hint="eastAsia" w:ascii="宋体" w:hAnsi="宋体" w:eastAsia="宋体" w:cs="宋体"/>
          <w:b w:val="0"/>
          <w:bCs w:val="0"/>
          <w:sz w:val="24"/>
          <w:szCs w:val="24"/>
        </w:rPr>
        <w:t>、</w:t>
      </w:r>
      <w:r>
        <w:rPr>
          <w:rStyle w:val="15"/>
          <w:rFonts w:hint="eastAsia" w:ascii="宋体" w:hAnsi="宋体" w:eastAsia="宋体" w:cs="宋体"/>
          <w:b w:val="0"/>
          <w:bCs w:val="0"/>
          <w:sz w:val="24"/>
          <w:szCs w:val="24"/>
        </w:rPr>
        <w:t>bohb_08</w:t>
      </w:r>
      <w:r>
        <w:rPr>
          <w:rFonts w:hint="eastAsia" w:ascii="宋体" w:hAnsi="宋体" w:eastAsia="宋体" w:cs="宋体"/>
          <w:b w:val="0"/>
          <w:bCs w:val="0"/>
          <w:sz w:val="24"/>
          <w:szCs w:val="24"/>
        </w:rPr>
        <w:t xml:space="preserve"> 和 </w:t>
      </w:r>
      <w:r>
        <w:rPr>
          <w:rStyle w:val="15"/>
          <w:rFonts w:hint="eastAsia" w:ascii="宋体" w:hAnsi="宋体" w:eastAsia="宋体" w:cs="宋体"/>
          <w:b w:val="0"/>
          <w:bCs w:val="0"/>
          <w:sz w:val="24"/>
          <w:szCs w:val="24"/>
        </w:rPr>
        <w:t>bohb_11</w:t>
      </w:r>
      <w:r>
        <w:rPr>
          <w:rFonts w:hint="eastAsia" w:ascii="宋体" w:hAnsi="宋体" w:eastAsia="宋体" w:cs="宋体"/>
          <w:b w:val="0"/>
          <w:bCs w:val="0"/>
          <w:sz w:val="24"/>
          <w:szCs w:val="24"/>
        </w:rPr>
        <w:t xml:space="preserve"> 的训练损失与验证损失均相对较高，表明这些配置在当前短训预算下的拟合效果和泛化效果都不占优势。</w:t>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rPr>
        <w:drawing>
          <wp:inline distT="0" distB="0" distL="114300" distR="114300">
            <wp:extent cx="5581650" cy="3350260"/>
            <wp:effectExtent l="0" t="0" r="1016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581650" cy="3350260"/>
                    </a:xfrm>
                    <a:prstGeom prst="rect">
                      <a:avLst/>
                    </a:prstGeom>
                    <a:noFill/>
                    <a:ln>
                      <a:noFill/>
                    </a:ln>
                  </pic:spPr>
                </pic:pic>
              </a:graphicData>
            </a:graphic>
          </wp:inline>
        </w:drawing>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ab/>
      </w:r>
    </w:p>
    <w:p w14:paraId="7C691F78">
      <w:pPr>
        <w:pStyle w:val="10"/>
        <w:keepNext w:val="0"/>
        <w:keepLines w:val="0"/>
        <w:widowControl/>
        <w:suppressLineNumbers w:val="0"/>
        <w:jc w:val="center"/>
        <w:rPr>
          <w:rFonts w:hint="eastAsia" w:ascii="宋体" w:hAnsi="宋体" w:eastAsia="宋体" w:cs="宋体"/>
          <w:b w:val="0"/>
          <w:bCs w:val="0"/>
          <w:sz w:val="22"/>
          <w:szCs w:val="22"/>
        </w:rPr>
      </w:pPr>
      <w:r>
        <w:rPr>
          <w:rFonts w:hint="eastAsia" w:ascii="宋体" w:hAnsi="宋体" w:eastAsia="宋体" w:cs="宋体"/>
          <w:b w:val="0"/>
          <w:bCs w:val="0"/>
          <w:sz w:val="22"/>
          <w:szCs w:val="22"/>
          <w:lang w:val="en-US" w:eastAsia="zh-CN"/>
        </w:rPr>
        <w:t xml:space="preserve">图9 </w:t>
      </w:r>
      <w:r>
        <w:rPr>
          <w:rFonts w:hint="eastAsia" w:ascii="宋体" w:hAnsi="宋体" w:eastAsia="宋体" w:cs="宋体"/>
          <w:b w:val="0"/>
          <w:bCs w:val="0"/>
          <w:sz w:val="22"/>
          <w:szCs w:val="22"/>
        </w:rPr>
        <w:t>Eval loss vs generalization gap</w:t>
      </w:r>
    </w:p>
    <w:p w14:paraId="2AF2AA2E">
      <w:pPr>
        <w:pStyle w:val="10"/>
        <w:keepNext w:val="0"/>
        <w:keepLines w:val="0"/>
        <w:widowControl/>
        <w:suppressLineNumbers w:val="0"/>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图</w:t>
      </w:r>
      <w:r>
        <w:rPr>
          <w:rFonts w:hint="eastAsia" w:ascii="宋体" w:hAnsi="宋体" w:eastAsia="宋体" w:cs="宋体"/>
          <w:b w:val="0"/>
          <w:bCs w:val="0"/>
          <w:sz w:val="24"/>
          <w:szCs w:val="24"/>
          <w:lang w:val="en-US" w:eastAsia="zh-CN"/>
        </w:rPr>
        <w:t>9</w:t>
      </w:r>
      <w:r>
        <w:rPr>
          <w:rFonts w:hint="eastAsia" w:ascii="宋体" w:hAnsi="宋体" w:eastAsia="宋体" w:cs="宋体"/>
          <w:b w:val="0"/>
          <w:bCs w:val="0"/>
          <w:sz w:val="24"/>
          <w:szCs w:val="24"/>
        </w:rPr>
        <w:t xml:space="preserve">中展示了 12 组 BOHB 候选配置的 generalization gap，即验证损失与训练损失之差。结果显示，所有候选配置的 gap 均为负值，说明各组配置的验证损失均低于训练损失，未出现典型的训练集损失低而验证集损失高的过拟合现象。从 gap 的绝对值来看，部分配置如 </w:t>
      </w:r>
      <w:r>
        <w:rPr>
          <w:rStyle w:val="15"/>
          <w:rFonts w:hint="eastAsia" w:ascii="宋体" w:hAnsi="宋体" w:eastAsia="宋体" w:cs="宋体"/>
          <w:b w:val="0"/>
          <w:bCs w:val="0"/>
          <w:sz w:val="24"/>
          <w:szCs w:val="24"/>
        </w:rPr>
        <w:t>bohb_12</w:t>
      </w:r>
      <w:r>
        <w:rPr>
          <w:rFonts w:hint="eastAsia" w:ascii="宋体" w:hAnsi="宋体" w:eastAsia="宋体" w:cs="宋体"/>
          <w:b w:val="0"/>
          <w:bCs w:val="0"/>
          <w:sz w:val="24"/>
          <w:szCs w:val="24"/>
        </w:rPr>
        <w:t>、</w:t>
      </w:r>
      <w:r>
        <w:rPr>
          <w:rStyle w:val="15"/>
          <w:rFonts w:hint="eastAsia" w:ascii="宋体" w:hAnsi="宋体" w:eastAsia="宋体" w:cs="宋体"/>
          <w:b w:val="0"/>
          <w:bCs w:val="0"/>
          <w:sz w:val="24"/>
          <w:szCs w:val="24"/>
        </w:rPr>
        <w:t>bohb_05</w:t>
      </w:r>
      <w:r>
        <w:rPr>
          <w:rFonts w:hint="eastAsia" w:ascii="宋体" w:hAnsi="宋体" w:eastAsia="宋体" w:cs="宋体"/>
          <w:b w:val="0"/>
          <w:bCs w:val="0"/>
          <w:sz w:val="24"/>
          <w:szCs w:val="24"/>
        </w:rPr>
        <w:t xml:space="preserve"> 和 </w:t>
      </w:r>
      <w:r>
        <w:rPr>
          <w:rStyle w:val="15"/>
          <w:rFonts w:hint="eastAsia" w:ascii="宋体" w:hAnsi="宋体" w:eastAsia="宋体" w:cs="宋体"/>
          <w:b w:val="0"/>
          <w:bCs w:val="0"/>
          <w:sz w:val="24"/>
          <w:szCs w:val="24"/>
        </w:rPr>
        <w:t>bohb_10</w:t>
      </w:r>
      <w:r>
        <w:rPr>
          <w:rFonts w:hint="eastAsia" w:ascii="宋体" w:hAnsi="宋体" w:eastAsia="宋体" w:cs="宋体"/>
          <w:b w:val="0"/>
          <w:bCs w:val="0"/>
          <w:sz w:val="24"/>
          <w:szCs w:val="24"/>
        </w:rPr>
        <w:t xml:space="preserve"> 的训练—验证损失差距较小，表现更为平衡；而 </w:t>
      </w:r>
      <w:r>
        <w:rPr>
          <w:rStyle w:val="15"/>
          <w:rFonts w:hint="eastAsia" w:ascii="宋体" w:hAnsi="宋体" w:eastAsia="宋体" w:cs="宋体"/>
          <w:b w:val="0"/>
          <w:bCs w:val="0"/>
          <w:sz w:val="24"/>
          <w:szCs w:val="24"/>
        </w:rPr>
        <w:t>bohb_01</w:t>
      </w:r>
      <w:r>
        <w:rPr>
          <w:rFonts w:hint="eastAsia" w:ascii="宋体" w:hAnsi="宋体" w:eastAsia="宋体" w:cs="宋体"/>
          <w:b w:val="0"/>
          <w:bCs w:val="0"/>
          <w:sz w:val="24"/>
          <w:szCs w:val="24"/>
        </w:rPr>
        <w:t>、</w:t>
      </w:r>
      <w:r>
        <w:rPr>
          <w:rStyle w:val="15"/>
          <w:rFonts w:hint="eastAsia" w:ascii="宋体" w:hAnsi="宋体" w:eastAsia="宋体" w:cs="宋体"/>
          <w:b w:val="0"/>
          <w:bCs w:val="0"/>
          <w:sz w:val="24"/>
          <w:szCs w:val="24"/>
        </w:rPr>
        <w:t>bohb_11</w:t>
      </w:r>
      <w:r>
        <w:rPr>
          <w:rFonts w:hint="eastAsia" w:ascii="宋体" w:hAnsi="宋体" w:eastAsia="宋体" w:cs="宋体"/>
          <w:b w:val="0"/>
          <w:bCs w:val="0"/>
          <w:sz w:val="24"/>
          <w:szCs w:val="24"/>
        </w:rPr>
        <w:t xml:space="preserve"> 等配置的差距相对较大。综合验证损失排名与 generalization gap，</w:t>
      </w:r>
      <w:r>
        <w:rPr>
          <w:rStyle w:val="15"/>
          <w:rFonts w:hint="eastAsia" w:ascii="宋体" w:hAnsi="宋体" w:eastAsia="宋体" w:cs="宋体"/>
          <w:b w:val="0"/>
          <w:bCs w:val="0"/>
          <w:sz w:val="24"/>
          <w:szCs w:val="24"/>
        </w:rPr>
        <w:t>bohb_03</w:t>
      </w:r>
      <w:r>
        <w:rPr>
          <w:rFonts w:hint="eastAsia" w:ascii="宋体" w:hAnsi="宋体" w:eastAsia="宋体" w:cs="宋体"/>
          <w:b w:val="0"/>
          <w:bCs w:val="0"/>
          <w:sz w:val="24"/>
          <w:szCs w:val="24"/>
        </w:rPr>
        <w:t xml:space="preserve"> 在取得最低 eval_loss 的同时并未表现出异常的泛化差距，因此可作为 Stage2 的基础配置。</w:t>
      </w:r>
    </w:p>
    <w:p w14:paraId="2D171A08">
      <w:pPr>
        <w:pStyle w:val="10"/>
        <w:keepNext w:val="0"/>
        <w:keepLines w:val="0"/>
        <w:widowControl/>
        <w:suppressLineNumbers w:val="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drawing>
          <wp:inline distT="0" distB="0" distL="114300" distR="114300">
            <wp:extent cx="6146165" cy="3414395"/>
            <wp:effectExtent l="0" t="0" r="698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6146165" cy="3414395"/>
                    </a:xfrm>
                    <a:prstGeom prst="rect">
                      <a:avLst/>
                    </a:prstGeom>
                    <a:noFill/>
                    <a:ln>
                      <a:noFill/>
                    </a:ln>
                  </pic:spPr>
                </pic:pic>
              </a:graphicData>
            </a:graphic>
          </wp:inline>
        </w:drawing>
      </w:r>
    </w:p>
    <w:p w14:paraId="56A2AFF1">
      <w:pPr>
        <w:pStyle w:val="10"/>
        <w:keepNext w:val="0"/>
        <w:keepLines w:val="0"/>
        <w:widowControl/>
        <w:suppressLineNumbers w:val="0"/>
        <w:ind w:firstLine="420" w:firstLineChars="0"/>
        <w:jc w:val="center"/>
        <w:rPr>
          <w:rFonts w:hint="eastAsia" w:ascii="宋体" w:hAnsi="宋体" w:eastAsia="宋体" w:cs="宋体"/>
          <w:b w:val="0"/>
          <w:bCs w:val="0"/>
          <w:sz w:val="22"/>
          <w:szCs w:val="22"/>
          <w:lang w:val="en-US" w:eastAsia="zh-CN"/>
        </w:rPr>
      </w:pPr>
      <w:r>
        <w:rPr>
          <w:rFonts w:hint="eastAsia" w:ascii="宋体" w:hAnsi="宋体" w:eastAsia="宋体" w:cs="宋体"/>
          <w:b w:val="0"/>
          <w:bCs w:val="0"/>
          <w:sz w:val="22"/>
          <w:szCs w:val="22"/>
          <w:lang w:val="en-US" w:eastAsia="zh-CN"/>
        </w:rPr>
        <w:t xml:space="preserve">图10 </w:t>
      </w:r>
      <w:r>
        <w:rPr>
          <w:rFonts w:hint="eastAsia" w:ascii="宋体" w:hAnsi="宋体" w:eastAsia="宋体" w:cs="宋体"/>
          <w:b w:val="0"/>
          <w:bCs w:val="0"/>
          <w:sz w:val="22"/>
          <w:szCs w:val="22"/>
        </w:rPr>
        <w:t>Hyperparameter vs eval_loss 汇总图</w:t>
      </w:r>
      <w:bookmarkStart w:id="63" w:name="_GoBack"/>
      <w:bookmarkEnd w:id="63"/>
    </w:p>
    <w:p w14:paraId="3D4550BC">
      <w:pPr>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图</w:t>
      </w:r>
      <w:r>
        <w:rPr>
          <w:rFonts w:hint="eastAsia" w:ascii="宋体" w:hAnsi="宋体" w:eastAsia="宋体" w:cs="宋体"/>
          <w:b w:val="0"/>
          <w:bCs w:val="0"/>
          <w:sz w:val="24"/>
          <w:szCs w:val="24"/>
          <w:lang w:val="en-US" w:eastAsia="zh-CN"/>
        </w:rPr>
        <w:t>10</w:t>
      </w:r>
      <w:r>
        <w:rPr>
          <w:rFonts w:hint="eastAsia" w:ascii="宋体" w:hAnsi="宋体" w:eastAsia="宋体" w:cs="宋体"/>
          <w:b w:val="0"/>
          <w:bCs w:val="0"/>
          <w:sz w:val="24"/>
          <w:szCs w:val="24"/>
        </w:rPr>
        <w:t xml:space="preserve">从 LoRA 结构参数与优化过程参数两个层面对 Stage 1 BOHB 候选配置进行了比较。结果显示，较大的 LoRA rank 并不必然带来更低的验证损失，说明单纯增加可训练参数量并不能稳定提升泛化表现。相比之下，learning rate 与 warmup ratio 对验证损失的影响更为明显，其中 </w:t>
      </w:r>
      <w:r>
        <w:rPr>
          <w:rStyle w:val="15"/>
          <w:rFonts w:hint="eastAsia" w:ascii="宋体" w:hAnsi="宋体" w:eastAsia="宋体" w:cs="宋体"/>
          <w:b w:val="0"/>
          <w:bCs w:val="0"/>
          <w:sz w:val="24"/>
          <w:szCs w:val="24"/>
        </w:rPr>
        <w:t>bohb_03</w:t>
      </w:r>
      <w:r>
        <w:rPr>
          <w:rFonts w:hint="eastAsia" w:ascii="宋体" w:hAnsi="宋体" w:eastAsia="宋体" w:cs="宋体"/>
          <w:b w:val="0"/>
          <w:bCs w:val="0"/>
          <w:sz w:val="24"/>
          <w:szCs w:val="24"/>
        </w:rPr>
        <w:t xml:space="preserve"> 在当前搜索空间中取得最低 eval_loss。scheduler 的平均表现差异较小，说明其在本轮短训中的区分度有限。综合来看，</w:t>
      </w:r>
      <w:r>
        <w:rPr>
          <w:rStyle w:val="15"/>
          <w:rFonts w:hint="eastAsia" w:ascii="宋体" w:hAnsi="宋体" w:eastAsia="宋体" w:cs="宋体"/>
          <w:b w:val="0"/>
          <w:bCs w:val="0"/>
          <w:sz w:val="24"/>
          <w:szCs w:val="24"/>
        </w:rPr>
        <w:t>bohb_03</w:t>
      </w:r>
      <w:r>
        <w:rPr>
          <w:rFonts w:hint="eastAsia" w:ascii="宋体" w:hAnsi="宋体" w:eastAsia="宋体" w:cs="宋体"/>
          <w:b w:val="0"/>
          <w:bCs w:val="0"/>
          <w:sz w:val="24"/>
          <w:szCs w:val="24"/>
        </w:rPr>
        <w:t xml:space="preserve"> 的优势来自多个超参数的共同作用，因此可作为后续 Stage 2 正则化增强实验的基础配置。</w:t>
      </w:r>
    </w:p>
    <w:p w14:paraId="609ADFF9">
      <w:pPr>
        <w:ind w:firstLine="420" w:firstLineChars="0"/>
        <w:jc w:val="center"/>
        <w:rPr>
          <w:rFonts w:hint="eastAsia" w:ascii="宋体" w:hAnsi="宋体" w:eastAsia="宋体" w:cs="宋体"/>
          <w:b/>
          <w:bCs/>
          <w:sz w:val="24"/>
          <w:szCs w:val="24"/>
        </w:rPr>
      </w:pPr>
      <w:r>
        <w:rPr>
          <w:rFonts w:hint="eastAsia" w:ascii="宋体" w:hAnsi="宋体" w:eastAsia="宋体" w:cs="宋体"/>
          <w:b/>
          <w:bCs/>
          <w:sz w:val="24"/>
          <w:szCs w:val="24"/>
          <w:lang w:val="en-US" w:eastAsia="zh-CN"/>
        </w:rPr>
        <w:t>表2 最优超参数配置(</w:t>
      </w:r>
      <w:r>
        <w:rPr>
          <w:rStyle w:val="15"/>
          <w:rFonts w:hint="eastAsia" w:ascii="宋体" w:hAnsi="宋体" w:eastAsia="宋体" w:cs="宋体"/>
          <w:b/>
          <w:bCs/>
          <w:sz w:val="24"/>
          <w:szCs w:val="24"/>
        </w:rPr>
        <w:t>bohb_03</w:t>
      </w:r>
      <w:r>
        <w:rPr>
          <w:rFonts w:hint="eastAsia" w:ascii="宋体" w:hAnsi="宋体" w:eastAsia="宋体" w:cs="宋体"/>
          <w:b/>
          <w:bCs/>
          <w:sz w:val="24"/>
          <w:szCs w:val="24"/>
          <w:lang w:val="en-US" w:eastAsia="zh-CN"/>
        </w:rPr>
        <w:t>)</w:t>
      </w:r>
    </w:p>
    <w:tbl>
      <w:tblPr>
        <w:tblStyle w:val="11"/>
        <w:tblW w:w="0" w:type="auto"/>
        <w:jc w:val="center"/>
        <w:tblLayout w:type="fixed"/>
        <w:tblCellMar>
          <w:top w:w="0" w:type="dxa"/>
          <w:left w:w="108" w:type="dxa"/>
          <w:bottom w:w="0" w:type="dxa"/>
          <w:right w:w="108" w:type="dxa"/>
        </w:tblCellMar>
      </w:tblPr>
      <w:tblGrid>
        <w:gridCol w:w="4646"/>
        <w:gridCol w:w="4646"/>
      </w:tblGrid>
      <w:tr w14:paraId="0E372327">
        <w:tblPrEx>
          <w:tblCellMar>
            <w:top w:w="0" w:type="dxa"/>
            <w:left w:w="108" w:type="dxa"/>
            <w:bottom w:w="0" w:type="dxa"/>
            <w:right w:w="108" w:type="dxa"/>
          </w:tblCellMar>
        </w:tblPrEx>
        <w:trPr>
          <w:trHeight w:val="369" w:hRule="atLeast"/>
          <w:jc w:val="center"/>
        </w:trPr>
        <w:tc>
          <w:tcPr>
            <w:tcW w:w="3515" w:type="dxa"/>
            <w:tcBorders>
              <w:top w:val="single" w:color="000000" w:sz="12" w:space="0"/>
              <w:left w:val="nil"/>
              <w:bottom w:val="single" w:color="000000" w:sz="8" w:space="0"/>
              <w:right w:val="nil"/>
            </w:tcBorders>
            <w:vAlign w:val="center"/>
          </w:tcPr>
          <w:p w14:paraId="643A782A">
            <w:pPr>
              <w:spacing w:before="0" w:after="0"/>
              <w:jc w:val="center"/>
            </w:pPr>
            <w:r>
              <w:rPr>
                <w:rFonts w:ascii="Times New Roman" w:hAnsi="Times New Roman" w:eastAsia="宋体"/>
                <w:b/>
                <w:sz w:val="22"/>
              </w:rPr>
              <w:t>参数名</w:t>
            </w:r>
          </w:p>
        </w:tc>
        <w:tc>
          <w:tcPr>
            <w:tcW w:w="5102" w:type="dxa"/>
            <w:tcBorders>
              <w:top w:val="single" w:color="000000" w:sz="12" w:space="0"/>
              <w:left w:val="nil"/>
              <w:bottom w:val="single" w:color="000000" w:sz="8" w:space="0"/>
              <w:right w:val="nil"/>
            </w:tcBorders>
            <w:vAlign w:val="center"/>
          </w:tcPr>
          <w:p w14:paraId="4E171613">
            <w:pPr>
              <w:spacing w:before="0" w:after="0"/>
              <w:jc w:val="center"/>
            </w:pPr>
            <w:r>
              <w:rPr>
                <w:rFonts w:ascii="Times New Roman" w:hAnsi="Times New Roman" w:eastAsia="宋体"/>
                <w:b/>
                <w:sz w:val="22"/>
              </w:rPr>
              <w:t>取值</w:t>
            </w:r>
          </w:p>
        </w:tc>
      </w:tr>
      <w:tr w14:paraId="361B4027">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61E1DF20">
            <w:pPr>
              <w:spacing w:before="0" w:after="0"/>
              <w:jc w:val="center"/>
            </w:pPr>
            <w:r>
              <w:rPr>
                <w:rFonts w:ascii="Times New Roman" w:hAnsi="Times New Roman" w:eastAsia="宋体"/>
                <w:sz w:val="21"/>
              </w:rPr>
              <w:t>lora_rank</w:t>
            </w:r>
          </w:p>
        </w:tc>
        <w:tc>
          <w:tcPr>
            <w:tcW w:w="5102" w:type="dxa"/>
            <w:tcBorders>
              <w:top w:val="nil"/>
              <w:left w:val="nil"/>
              <w:bottom w:val="nil"/>
              <w:right w:val="nil"/>
            </w:tcBorders>
            <w:vAlign w:val="center"/>
          </w:tcPr>
          <w:p w14:paraId="01B5D41D">
            <w:pPr>
              <w:spacing w:before="0" w:after="0"/>
              <w:jc w:val="center"/>
            </w:pPr>
            <w:r>
              <w:rPr>
                <w:rFonts w:ascii="Times New Roman" w:hAnsi="Times New Roman" w:eastAsia="宋体"/>
                <w:sz w:val="21"/>
              </w:rPr>
              <w:t>8</w:t>
            </w:r>
          </w:p>
        </w:tc>
      </w:tr>
      <w:tr w14:paraId="06DD1418">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6E299966">
            <w:pPr>
              <w:spacing w:before="0" w:after="0"/>
              <w:jc w:val="center"/>
            </w:pPr>
            <w:r>
              <w:rPr>
                <w:rFonts w:ascii="Times New Roman" w:hAnsi="Times New Roman" w:eastAsia="宋体"/>
                <w:sz w:val="21"/>
              </w:rPr>
              <w:t>lora_alpha</w:t>
            </w:r>
          </w:p>
        </w:tc>
        <w:tc>
          <w:tcPr>
            <w:tcW w:w="5102" w:type="dxa"/>
            <w:tcBorders>
              <w:top w:val="nil"/>
              <w:left w:val="nil"/>
              <w:bottom w:val="nil"/>
              <w:right w:val="nil"/>
            </w:tcBorders>
            <w:vAlign w:val="center"/>
          </w:tcPr>
          <w:p w14:paraId="04C105C6">
            <w:pPr>
              <w:spacing w:before="0" w:after="0"/>
              <w:jc w:val="center"/>
            </w:pPr>
            <w:r>
              <w:rPr>
                <w:rFonts w:ascii="Times New Roman" w:hAnsi="Times New Roman" w:eastAsia="宋体"/>
                <w:sz w:val="21"/>
              </w:rPr>
              <w:t>32</w:t>
            </w:r>
          </w:p>
        </w:tc>
      </w:tr>
      <w:tr w14:paraId="522FB0E3">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75FA00A7">
            <w:pPr>
              <w:spacing w:before="0" w:after="0"/>
              <w:jc w:val="center"/>
            </w:pPr>
            <w:r>
              <w:rPr>
                <w:rFonts w:ascii="Times New Roman" w:hAnsi="Times New Roman" w:eastAsia="宋体"/>
                <w:sz w:val="21"/>
              </w:rPr>
              <w:t>lora_dropout</w:t>
            </w:r>
          </w:p>
        </w:tc>
        <w:tc>
          <w:tcPr>
            <w:tcW w:w="5102" w:type="dxa"/>
            <w:tcBorders>
              <w:top w:val="nil"/>
              <w:left w:val="nil"/>
              <w:bottom w:val="nil"/>
              <w:right w:val="nil"/>
            </w:tcBorders>
            <w:vAlign w:val="center"/>
          </w:tcPr>
          <w:p w14:paraId="079E9C17">
            <w:pPr>
              <w:spacing w:before="0" w:after="0"/>
              <w:jc w:val="center"/>
            </w:pPr>
            <w:r>
              <w:rPr>
                <w:rFonts w:ascii="Times New Roman" w:hAnsi="Times New Roman" w:eastAsia="宋体"/>
                <w:sz w:val="21"/>
              </w:rPr>
              <w:t>0.1</w:t>
            </w:r>
          </w:p>
        </w:tc>
      </w:tr>
      <w:tr w14:paraId="5DEE0882">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2FEAEE5E">
            <w:pPr>
              <w:spacing w:before="0" w:after="0"/>
              <w:jc w:val="center"/>
            </w:pPr>
            <w:r>
              <w:rPr>
                <w:rFonts w:ascii="Times New Roman" w:hAnsi="Times New Roman" w:eastAsia="宋体"/>
                <w:sz w:val="21"/>
              </w:rPr>
              <w:t>learning_rate</w:t>
            </w:r>
          </w:p>
        </w:tc>
        <w:tc>
          <w:tcPr>
            <w:tcW w:w="5102" w:type="dxa"/>
            <w:tcBorders>
              <w:top w:val="nil"/>
              <w:left w:val="nil"/>
              <w:bottom w:val="nil"/>
              <w:right w:val="nil"/>
            </w:tcBorders>
            <w:vAlign w:val="center"/>
          </w:tcPr>
          <w:p w14:paraId="3DB55619">
            <w:pPr>
              <w:spacing w:before="0" w:after="0"/>
              <w:jc w:val="center"/>
            </w:pPr>
            <w:r>
              <w:rPr>
                <w:rFonts w:ascii="Times New Roman" w:hAnsi="Times New Roman" w:eastAsia="宋体"/>
                <w:sz w:val="21"/>
              </w:rPr>
              <w:t>5e-5</w:t>
            </w:r>
          </w:p>
        </w:tc>
      </w:tr>
      <w:tr w14:paraId="04AA5659">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6AB2DDAD">
            <w:pPr>
              <w:spacing w:before="0" w:after="0"/>
              <w:jc w:val="center"/>
            </w:pPr>
            <w:r>
              <w:rPr>
                <w:rFonts w:ascii="Times New Roman" w:hAnsi="Times New Roman" w:eastAsia="宋体"/>
                <w:sz w:val="21"/>
              </w:rPr>
              <w:t>warmup_ratio</w:t>
            </w:r>
          </w:p>
        </w:tc>
        <w:tc>
          <w:tcPr>
            <w:tcW w:w="5102" w:type="dxa"/>
            <w:tcBorders>
              <w:top w:val="nil"/>
              <w:left w:val="nil"/>
              <w:bottom w:val="nil"/>
              <w:right w:val="nil"/>
            </w:tcBorders>
            <w:vAlign w:val="center"/>
          </w:tcPr>
          <w:p w14:paraId="13E484C8">
            <w:pPr>
              <w:spacing w:before="0" w:after="0"/>
              <w:jc w:val="center"/>
            </w:pPr>
            <w:r>
              <w:rPr>
                <w:rFonts w:ascii="Times New Roman" w:hAnsi="Times New Roman" w:eastAsia="宋体"/>
                <w:sz w:val="21"/>
              </w:rPr>
              <w:t>0.1</w:t>
            </w:r>
          </w:p>
        </w:tc>
      </w:tr>
      <w:tr w14:paraId="2098889F">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6C00DF01">
            <w:pPr>
              <w:spacing w:before="0" w:after="0"/>
              <w:jc w:val="center"/>
            </w:pPr>
            <w:r>
              <w:rPr>
                <w:rFonts w:ascii="Times New Roman" w:hAnsi="Times New Roman" w:eastAsia="宋体"/>
                <w:sz w:val="21"/>
              </w:rPr>
              <w:t>lr_scheduler_type</w:t>
            </w:r>
          </w:p>
        </w:tc>
        <w:tc>
          <w:tcPr>
            <w:tcW w:w="5102" w:type="dxa"/>
            <w:tcBorders>
              <w:top w:val="nil"/>
              <w:left w:val="nil"/>
              <w:bottom w:val="nil"/>
              <w:right w:val="nil"/>
            </w:tcBorders>
            <w:vAlign w:val="center"/>
          </w:tcPr>
          <w:p w14:paraId="25DE12D4">
            <w:pPr>
              <w:spacing w:before="0" w:after="0"/>
              <w:jc w:val="center"/>
            </w:pPr>
            <w:r>
              <w:rPr>
                <w:rFonts w:ascii="Times New Roman" w:hAnsi="Times New Roman" w:eastAsia="宋体"/>
                <w:sz w:val="21"/>
              </w:rPr>
              <w:t>linear</w:t>
            </w:r>
          </w:p>
        </w:tc>
      </w:tr>
      <w:tr w14:paraId="054455C6">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2EBAC942">
            <w:pPr>
              <w:spacing w:before="0" w:after="0"/>
              <w:jc w:val="center"/>
            </w:pPr>
            <w:r>
              <w:rPr>
                <w:rFonts w:ascii="Times New Roman" w:hAnsi="Times New Roman" w:eastAsia="宋体"/>
                <w:sz w:val="21"/>
              </w:rPr>
              <w:t>num_train_epochs</w:t>
            </w:r>
          </w:p>
        </w:tc>
        <w:tc>
          <w:tcPr>
            <w:tcW w:w="5102" w:type="dxa"/>
            <w:tcBorders>
              <w:top w:val="nil"/>
              <w:left w:val="nil"/>
              <w:bottom w:val="nil"/>
              <w:right w:val="nil"/>
            </w:tcBorders>
            <w:vAlign w:val="center"/>
          </w:tcPr>
          <w:p w14:paraId="0DCD7341">
            <w:pPr>
              <w:spacing w:before="0" w:after="0"/>
              <w:jc w:val="center"/>
            </w:pPr>
            <w:r>
              <w:rPr>
                <w:rFonts w:ascii="Times New Roman" w:hAnsi="Times New Roman" w:eastAsia="宋体"/>
                <w:sz w:val="21"/>
              </w:rPr>
              <w:t>3</w:t>
            </w:r>
          </w:p>
        </w:tc>
      </w:tr>
      <w:tr w14:paraId="45983B1C">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57EBC401">
            <w:pPr>
              <w:spacing w:before="0" w:after="0"/>
              <w:jc w:val="center"/>
            </w:pPr>
            <w:r>
              <w:rPr>
                <w:rFonts w:ascii="Times New Roman" w:hAnsi="Times New Roman" w:eastAsia="宋体"/>
                <w:sz w:val="21"/>
              </w:rPr>
              <w:t>max_steps</w:t>
            </w:r>
          </w:p>
        </w:tc>
        <w:tc>
          <w:tcPr>
            <w:tcW w:w="5102" w:type="dxa"/>
            <w:tcBorders>
              <w:top w:val="nil"/>
              <w:left w:val="nil"/>
              <w:bottom w:val="nil"/>
              <w:right w:val="nil"/>
            </w:tcBorders>
            <w:vAlign w:val="center"/>
          </w:tcPr>
          <w:p w14:paraId="22272E8E">
            <w:pPr>
              <w:spacing w:before="0" w:after="0"/>
              <w:jc w:val="center"/>
            </w:pPr>
            <w:r>
              <w:rPr>
                <w:rFonts w:ascii="Times New Roman" w:hAnsi="Times New Roman" w:eastAsia="宋体"/>
                <w:sz w:val="21"/>
              </w:rPr>
              <w:t>100</w:t>
            </w:r>
          </w:p>
        </w:tc>
      </w:tr>
      <w:tr w14:paraId="35CF7409">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1952554C">
            <w:pPr>
              <w:spacing w:before="0" w:after="0"/>
              <w:jc w:val="center"/>
            </w:pPr>
            <w:r>
              <w:rPr>
                <w:rFonts w:ascii="Times New Roman" w:hAnsi="Times New Roman" w:eastAsia="宋体"/>
                <w:sz w:val="21"/>
              </w:rPr>
              <w:t>val_size</w:t>
            </w:r>
          </w:p>
        </w:tc>
        <w:tc>
          <w:tcPr>
            <w:tcW w:w="5102" w:type="dxa"/>
            <w:tcBorders>
              <w:top w:val="nil"/>
              <w:left w:val="nil"/>
              <w:bottom w:val="nil"/>
              <w:right w:val="nil"/>
            </w:tcBorders>
            <w:vAlign w:val="center"/>
          </w:tcPr>
          <w:p w14:paraId="5024194B">
            <w:pPr>
              <w:spacing w:before="0" w:after="0"/>
              <w:jc w:val="center"/>
            </w:pPr>
            <w:r>
              <w:rPr>
                <w:rFonts w:ascii="Times New Roman" w:hAnsi="Times New Roman" w:eastAsia="宋体"/>
                <w:sz w:val="21"/>
              </w:rPr>
              <w:t>0.001</w:t>
            </w:r>
          </w:p>
        </w:tc>
      </w:tr>
      <w:tr w14:paraId="4C3B76AC">
        <w:tblPrEx>
          <w:tblCellMar>
            <w:top w:w="0" w:type="dxa"/>
            <w:left w:w="108" w:type="dxa"/>
            <w:bottom w:w="0" w:type="dxa"/>
            <w:right w:w="108" w:type="dxa"/>
          </w:tblCellMar>
        </w:tblPrEx>
        <w:trPr>
          <w:trHeight w:val="369" w:hRule="atLeast"/>
          <w:jc w:val="center"/>
        </w:trPr>
        <w:tc>
          <w:tcPr>
            <w:tcW w:w="3515" w:type="dxa"/>
            <w:tcBorders>
              <w:top w:val="nil"/>
              <w:left w:val="nil"/>
              <w:bottom w:val="nil"/>
              <w:right w:val="nil"/>
            </w:tcBorders>
            <w:vAlign w:val="center"/>
          </w:tcPr>
          <w:p w14:paraId="653B21E1">
            <w:pPr>
              <w:spacing w:before="0" w:after="0"/>
              <w:jc w:val="center"/>
            </w:pPr>
            <w:r>
              <w:rPr>
                <w:rFonts w:ascii="Times New Roman" w:hAnsi="Times New Roman" w:eastAsia="宋体"/>
                <w:sz w:val="21"/>
              </w:rPr>
              <w:t>eval_steps</w:t>
            </w:r>
          </w:p>
        </w:tc>
        <w:tc>
          <w:tcPr>
            <w:tcW w:w="5102" w:type="dxa"/>
            <w:tcBorders>
              <w:top w:val="nil"/>
              <w:left w:val="nil"/>
              <w:bottom w:val="nil"/>
              <w:right w:val="nil"/>
            </w:tcBorders>
            <w:vAlign w:val="center"/>
          </w:tcPr>
          <w:p w14:paraId="57CF76F5">
            <w:pPr>
              <w:spacing w:before="0" w:after="0"/>
              <w:jc w:val="center"/>
            </w:pPr>
            <w:r>
              <w:rPr>
                <w:rFonts w:ascii="Times New Roman" w:hAnsi="Times New Roman" w:eastAsia="宋体"/>
                <w:sz w:val="21"/>
              </w:rPr>
              <w:t>50</w:t>
            </w:r>
          </w:p>
        </w:tc>
      </w:tr>
      <w:tr w14:paraId="70271D9D">
        <w:tblPrEx>
          <w:tblCellMar>
            <w:top w:w="0" w:type="dxa"/>
            <w:left w:w="108" w:type="dxa"/>
            <w:bottom w:w="0" w:type="dxa"/>
            <w:right w:w="108" w:type="dxa"/>
          </w:tblCellMar>
        </w:tblPrEx>
        <w:trPr>
          <w:trHeight w:val="369" w:hRule="atLeast"/>
          <w:jc w:val="center"/>
        </w:trPr>
        <w:tc>
          <w:tcPr>
            <w:tcW w:w="3515" w:type="dxa"/>
            <w:tcBorders>
              <w:top w:val="nil"/>
              <w:left w:val="nil"/>
              <w:bottom w:val="single" w:color="000000" w:sz="12" w:space="0"/>
              <w:right w:val="nil"/>
            </w:tcBorders>
            <w:vAlign w:val="center"/>
          </w:tcPr>
          <w:p w14:paraId="1D73F50F">
            <w:pPr>
              <w:spacing w:before="0" w:after="0"/>
              <w:jc w:val="center"/>
            </w:pPr>
            <w:r>
              <w:rPr>
                <w:rFonts w:ascii="Times New Roman" w:hAnsi="Times New Roman" w:eastAsia="宋体"/>
                <w:sz w:val="21"/>
              </w:rPr>
              <w:t>output_dir</w:t>
            </w:r>
          </w:p>
        </w:tc>
        <w:tc>
          <w:tcPr>
            <w:tcW w:w="5102" w:type="dxa"/>
            <w:tcBorders>
              <w:top w:val="nil"/>
              <w:left w:val="nil"/>
              <w:bottom w:val="single" w:color="000000" w:sz="12" w:space="0"/>
              <w:right w:val="nil"/>
            </w:tcBorders>
            <w:vAlign w:val="center"/>
          </w:tcPr>
          <w:p w14:paraId="441D33C2">
            <w:pPr>
              <w:spacing w:before="0" w:after="0"/>
              <w:jc w:val="center"/>
            </w:pPr>
            <w:r>
              <w:rPr>
                <w:rFonts w:ascii="Times New Roman" w:hAnsi="Times New Roman" w:eastAsia="宋体"/>
                <w:sz w:val="21"/>
              </w:rPr>
              <w:t>saves/bohb/llama3-8b/stage1/bohb_03</w:t>
            </w:r>
          </w:p>
        </w:tc>
      </w:tr>
    </w:tbl>
    <w:p w14:paraId="507F022E">
      <w:pPr>
        <w:rPr>
          <w:rFonts w:hint="eastAsia" w:ascii="宋体" w:hAnsi="宋体" w:eastAsia="宋体" w:cs="宋体"/>
          <w:b w:val="0"/>
          <w:bCs w:val="0"/>
          <w:sz w:val="24"/>
          <w:szCs w:val="24"/>
        </w:rPr>
      </w:pPr>
    </w:p>
    <w:p w14:paraId="318CDBA2">
      <w:pPr>
        <w:pStyle w:val="3"/>
        <w:bidi w:val="0"/>
        <w:rPr>
          <w:rFonts w:hint="eastAsia" w:ascii="宋体" w:hAnsi="宋体" w:eastAsia="宋体" w:cs="宋体"/>
          <w:b w:val="0"/>
          <w:bCs w:val="0"/>
          <w:sz w:val="24"/>
          <w:szCs w:val="24"/>
          <w:lang w:val="en-US" w:eastAsia="zh-CN"/>
        </w:rPr>
      </w:pPr>
      <w:bookmarkStart w:id="56" w:name="_Toc2193"/>
      <w:bookmarkStart w:id="57" w:name="_Toc20468"/>
      <w:r>
        <w:rPr>
          <w:rFonts w:hint="eastAsia"/>
          <w:lang w:val="en-US" w:eastAsia="zh-CN"/>
        </w:rPr>
        <w:t>二</w:t>
      </w:r>
      <w:r>
        <w:rPr>
          <w:rFonts w:hint="eastAsia"/>
          <w:b w:val="0"/>
          <w:bCs/>
          <w:lang w:val="en-US" w:eastAsia="zh-CN"/>
        </w:rPr>
        <w:t>、stage2——NEFTune</w:t>
      </w:r>
      <w:bookmarkEnd w:id="56"/>
      <w:bookmarkEnd w:id="57"/>
    </w:p>
    <w:p w14:paraId="70FDC835">
      <w:pPr>
        <w:numPr>
          <w:ilvl w:val="0"/>
          <w:numId w:val="0"/>
        </w:numPr>
        <w:ind w:firstLine="420" w:firstLineChars="0"/>
        <w:rPr>
          <w:rFonts w:hint="eastAsia" w:ascii="宋体" w:hAnsi="宋体" w:eastAsia="宋体" w:cs="宋体"/>
          <w:sz w:val="24"/>
          <w:szCs w:val="24"/>
        </w:rPr>
      </w:pPr>
      <w:r>
        <w:rPr>
          <w:rFonts w:hint="eastAsia" w:ascii="宋体" w:hAnsi="宋体" w:eastAsia="宋体" w:cs="宋体"/>
          <w:b w:val="0"/>
          <w:bCs w:val="0"/>
          <w:sz w:val="24"/>
          <w:szCs w:val="24"/>
        </w:rPr>
        <w:t>NEFTune 是</w:t>
      </w:r>
      <w:r>
        <w:rPr>
          <w:rFonts w:hint="eastAsia" w:ascii="宋体" w:hAnsi="宋体" w:eastAsia="宋体" w:cs="宋体"/>
          <w:sz w:val="24"/>
          <w:szCs w:val="24"/>
        </w:rPr>
        <w:t xml:space="preserve">一种面向大语言模型指令微调的正则化增强方法，其核心思想是在训练阶段向 token embedding 中加入随机噪声，从而增强模型对输入表示扰动的鲁棒性。具体而言，设原始 token embedding 为 </w:t>
      </w:r>
      <m:oMath>
        <m:r>
          <m:rPr>
            <m:sty m:val="b"/>
          </m:rPr>
          <w:rPr>
            <w:rFonts w:hint="eastAsia" w:ascii="Cambria Math" w:hAnsi="Cambria Math" w:eastAsia="宋体" w:cs="宋体"/>
            <w:sz w:val="24"/>
            <w:szCs w:val="24"/>
          </w:rPr>
          <m:t>e</m:t>
        </m:r>
      </m:oMath>
      <w:r>
        <w:rPr>
          <w:rFonts w:hint="eastAsia" w:ascii="宋体" w:hAnsi="宋体" w:eastAsia="宋体" w:cs="宋体"/>
          <w:sz w:val="24"/>
          <w:szCs w:val="24"/>
        </w:rPr>
        <w:t xml:space="preserve">，NEFTune 在前向传播时将其替换为加入噪声后的表示 </w:t>
      </w:r>
      <m:oMath>
        <m:acc>
          <m:accPr>
            <m:chr m:val="̃"/>
            <m:ctrlPr>
              <w:rPr>
                <w:rFonts w:hint="eastAsia" w:ascii="Cambria Math" w:hAnsi="Cambria Math" w:eastAsia="宋体" w:cs="宋体"/>
                <w:sz w:val="24"/>
                <w:szCs w:val="24"/>
              </w:rPr>
            </m:ctrlPr>
          </m:accPr>
          <m:e>
            <m:r>
              <m:rPr>
                <m:sty m:val="b"/>
              </m:rPr>
              <w:rPr>
                <w:rFonts w:hint="eastAsia" w:ascii="Cambria Math" w:hAnsi="Cambria Math" w:eastAsia="宋体" w:cs="宋体"/>
                <w:sz w:val="24"/>
                <w:szCs w:val="24"/>
              </w:rPr>
              <m:t>e</m:t>
            </m:r>
            <m:ctrlPr>
              <w:rPr>
                <w:rFonts w:hint="eastAsia" w:ascii="Cambria Math" w:hAnsi="Cambria Math" w:eastAsia="宋体" w:cs="宋体"/>
                <w:sz w:val="24"/>
                <w:szCs w:val="24"/>
              </w:rPr>
            </m:ctrlPr>
          </m:e>
        </m:acc>
      </m:oMath>
      <w:r>
        <w:rPr>
          <w:rFonts w:hint="eastAsia" w:ascii="宋体" w:hAnsi="宋体" w:eastAsia="宋体" w:cs="宋体"/>
          <w:sz w:val="24"/>
          <w:szCs w:val="24"/>
        </w:rPr>
        <w:t>，即</w:t>
      </w:r>
    </w:p>
    <w:p w14:paraId="7084D760">
      <w:pPr>
        <w:pStyle w:val="6"/>
        <w:rPr>
          <w:rFonts w:hint="eastAsia" w:ascii="宋体" w:hAnsi="宋体" w:eastAsia="宋体" w:cs="宋体"/>
          <w:b w:val="0"/>
          <w:bCs w:val="0"/>
          <w:sz w:val="32"/>
          <w:szCs w:val="32"/>
        </w:rPr>
      </w:pPr>
      <m:oMathPara>
        <m:oMathParaPr>
          <m:jc m:val="center"/>
        </m:oMathParaPr>
        <m:oMath>
          <m:acc>
            <m:accPr>
              <m:chr m:val="̃"/>
              <m:ctrlPr>
                <w:rPr>
                  <w:rFonts w:hint="eastAsia" w:ascii="Cambria Math" w:hAnsi="Cambria Math" w:eastAsia="宋体" w:cs="宋体"/>
                  <w:b w:val="0"/>
                  <w:bCs w:val="0"/>
                  <w:sz w:val="32"/>
                  <w:szCs w:val="32"/>
                </w:rPr>
              </m:ctrlPr>
            </m:accPr>
            <m:e>
              <m:r>
                <m:rPr>
                  <m:sty m:val="p"/>
                </m:rPr>
                <w:rPr>
                  <w:rFonts w:hint="eastAsia" w:ascii="Cambria Math" w:hAnsi="Cambria Math" w:eastAsia="宋体" w:cs="宋体"/>
                  <w:sz w:val="32"/>
                  <w:szCs w:val="32"/>
                </w:rPr>
                <m:t>e</m:t>
              </m:r>
              <m:ctrlPr>
                <w:rPr>
                  <w:rFonts w:hint="eastAsia" w:ascii="Cambria Math" w:hAnsi="Cambria Math" w:eastAsia="宋体" w:cs="宋体"/>
                  <w:b w:val="0"/>
                  <w:bCs w:val="0"/>
                  <w:sz w:val="32"/>
                  <w:szCs w:val="32"/>
                </w:rPr>
              </m:ctrlPr>
            </m:e>
          </m:acc>
          <m:r>
            <m:rPr>
              <m:sty m:val="p"/>
            </m:rPr>
            <w:rPr>
              <w:rFonts w:hint="eastAsia" w:ascii="Cambria Math" w:hAnsi="Cambria Math" w:eastAsia="宋体" w:cs="宋体"/>
              <w:sz w:val="32"/>
              <w:szCs w:val="32"/>
            </w:rPr>
            <m:t>=</m:t>
          </m:r>
          <m:r>
            <m:rPr>
              <m:sty m:val="p"/>
            </m:rPr>
            <w:rPr>
              <w:rFonts w:hint="eastAsia" w:ascii="Cambria Math" w:hAnsi="Cambria Math" w:eastAsia="宋体" w:cs="宋体"/>
              <w:sz w:val="32"/>
              <w:szCs w:val="32"/>
            </w:rPr>
            <m:t>e</m:t>
          </m:r>
          <m:r>
            <m:rPr>
              <m:sty m:val="p"/>
            </m:rPr>
            <w:rPr>
              <w:rFonts w:hint="eastAsia" w:ascii="Cambria Math" w:hAnsi="Cambria Math" w:eastAsia="宋体" w:cs="宋体"/>
              <w:sz w:val="32"/>
              <w:szCs w:val="32"/>
            </w:rPr>
            <m:t>+</m:t>
          </m:r>
          <m:r>
            <m:rPr>
              <m:sty m:val="p"/>
            </m:rPr>
            <w:rPr>
              <w:rFonts w:hint="eastAsia" w:ascii="Cambria Math" w:hAnsi="Cambria Math" w:eastAsia="宋体" w:cs="宋体"/>
              <w:sz w:val="32"/>
              <w:szCs w:val="32"/>
            </w:rPr>
            <m:t>ϵ</m:t>
          </m:r>
          <m:r>
            <m:rPr>
              <m:sty m:val="p"/>
            </m:rPr>
            <w:rPr>
              <w:rFonts w:hint="eastAsia" w:ascii="Cambria Math" w:hAnsi="Cambria Math" w:eastAsia="宋体" w:cs="宋体"/>
              <w:sz w:val="32"/>
              <w:szCs w:val="32"/>
            </w:rPr>
            <m:t>,</m:t>
          </m:r>
          <m:r>
            <m:rPr/>
            <w:rPr>
              <w:rFonts w:hint="eastAsia" w:ascii="Cambria Math" w:hAnsi="Cambria Math" w:eastAsia="宋体" w:cs="宋体"/>
              <w:sz w:val="32"/>
              <w:szCs w:val="32"/>
            </w:rPr>
            <m:t> </m:t>
          </m:r>
          <m:r>
            <m:rPr>
              <m:sty m:val="p"/>
            </m:rPr>
            <w:rPr>
              <w:rFonts w:hint="eastAsia" w:ascii="Cambria Math" w:hAnsi="Cambria Math" w:eastAsia="宋体" w:cs="宋体"/>
              <w:sz w:val="32"/>
              <w:szCs w:val="32"/>
            </w:rPr>
            <m:t>ϵ</m:t>
          </m:r>
          <m:r>
            <m:rPr>
              <m:sty m:val="p"/>
            </m:rPr>
            <w:rPr>
              <w:rFonts w:hint="eastAsia" w:ascii="Cambria Math" w:hAnsi="Cambria Math" w:eastAsia="宋体" w:cs="宋体"/>
              <w:sz w:val="32"/>
              <w:szCs w:val="32"/>
            </w:rPr>
            <m:t>∼</m:t>
          </m:r>
          <m:r>
            <m:rPr>
              <m:sty m:val="p"/>
              <m:scr m:val="script"/>
            </m:rPr>
            <w:rPr>
              <w:rFonts w:hint="eastAsia" w:ascii="Cambria Math" w:hAnsi="Cambria Math" w:eastAsia="MS Mincho" w:cs="MS Mincho"/>
              <w:sz w:val="32"/>
              <w:szCs w:val="32"/>
            </w:rPr>
            <m:t>U</m:t>
          </m:r>
          <m:d>
            <m:dPr>
              <m:sepChr m:val=""/>
              <m:ctrlPr>
                <w:rPr>
                  <w:rFonts w:hint="eastAsia" w:ascii="Cambria Math" w:hAnsi="Cambria Math" w:eastAsia="宋体" w:cs="宋体"/>
                  <w:b w:val="0"/>
                  <w:bCs w:val="0"/>
                  <w:sz w:val="32"/>
                  <w:szCs w:val="32"/>
                </w:rPr>
              </m:ctrlPr>
            </m:dPr>
            <m:e>
              <m:r>
                <m:rPr>
                  <m:sty m:val="p"/>
                </m:rPr>
                <w:rPr>
                  <w:rFonts w:hint="eastAsia" w:ascii="Cambria Math" w:hAnsi="Cambria Math" w:eastAsia="宋体" w:cs="宋体"/>
                  <w:sz w:val="32"/>
                  <w:szCs w:val="32"/>
                </w:rPr>
                <m:t>−</m:t>
              </m:r>
              <m:f>
                <m:fPr>
                  <m:ctrlPr>
                    <w:rPr>
                      <w:rFonts w:hint="eastAsia" w:ascii="Cambria Math" w:hAnsi="Cambria Math" w:eastAsia="宋体" w:cs="宋体"/>
                      <w:b w:val="0"/>
                      <w:bCs w:val="0"/>
                      <w:sz w:val="32"/>
                      <w:szCs w:val="32"/>
                    </w:rPr>
                  </m:ctrlPr>
                </m:fPr>
                <m:num>
                  <m:r>
                    <m:rPr/>
                    <w:rPr>
                      <w:rFonts w:hint="eastAsia" w:ascii="Cambria Math" w:hAnsi="Cambria Math" w:eastAsia="宋体" w:cs="宋体"/>
                      <w:sz w:val="32"/>
                      <w:szCs w:val="32"/>
                    </w:rPr>
                    <m:t>α</m:t>
                  </m:r>
                  <m:ctrlPr>
                    <w:rPr>
                      <w:rFonts w:hint="eastAsia" w:ascii="Cambria Math" w:hAnsi="Cambria Math" w:eastAsia="宋体" w:cs="宋体"/>
                      <w:b w:val="0"/>
                      <w:bCs w:val="0"/>
                      <w:sz w:val="32"/>
                      <w:szCs w:val="32"/>
                    </w:rPr>
                  </m:ctrlPr>
                </m:num>
                <m:den>
                  <m:rad>
                    <m:radPr>
                      <m:degHide m:val="1"/>
                      <m:ctrlPr>
                        <w:rPr>
                          <w:rFonts w:hint="eastAsia" w:ascii="Cambria Math" w:hAnsi="Cambria Math" w:eastAsia="宋体" w:cs="宋体"/>
                          <w:b w:val="0"/>
                          <w:bCs w:val="0"/>
                          <w:sz w:val="32"/>
                          <w:szCs w:val="32"/>
                        </w:rPr>
                      </m:ctrlPr>
                    </m:radPr>
                    <m:deg>
                      <m:ctrlPr>
                        <w:rPr>
                          <w:rFonts w:hint="eastAsia" w:ascii="Cambria Math" w:hAnsi="Cambria Math" w:eastAsia="宋体" w:cs="宋体"/>
                          <w:b w:val="0"/>
                          <w:bCs w:val="0"/>
                          <w:sz w:val="32"/>
                          <w:szCs w:val="32"/>
                        </w:rPr>
                      </m:ctrlPr>
                    </m:deg>
                    <m:e>
                      <m:r>
                        <m:rPr/>
                        <w:rPr>
                          <w:rFonts w:hint="eastAsia" w:ascii="Cambria Math" w:hAnsi="Cambria Math" w:eastAsia="宋体" w:cs="宋体"/>
                          <w:sz w:val="32"/>
                          <w:szCs w:val="32"/>
                        </w:rPr>
                        <m:t>Ld</m:t>
                      </m:r>
                      <m:ctrlPr>
                        <w:rPr>
                          <w:rFonts w:hint="eastAsia" w:ascii="Cambria Math" w:hAnsi="Cambria Math" w:eastAsia="宋体" w:cs="宋体"/>
                          <w:b w:val="0"/>
                          <w:bCs w:val="0"/>
                          <w:sz w:val="32"/>
                          <w:szCs w:val="32"/>
                        </w:rPr>
                      </m:ctrlPr>
                    </m:e>
                  </m:rad>
                  <m:ctrlPr>
                    <w:rPr>
                      <w:rFonts w:hint="eastAsia" w:ascii="Cambria Math" w:hAnsi="Cambria Math" w:eastAsia="宋体" w:cs="宋体"/>
                      <w:b w:val="0"/>
                      <w:bCs w:val="0"/>
                      <w:sz w:val="32"/>
                      <w:szCs w:val="32"/>
                    </w:rPr>
                  </m:ctrlPr>
                </m:den>
              </m:f>
              <m:r>
                <m:rPr>
                  <m:sty m:val="p"/>
                </m:rPr>
                <w:rPr>
                  <w:rFonts w:hint="eastAsia" w:ascii="Cambria Math" w:hAnsi="Cambria Math" w:eastAsia="宋体" w:cs="宋体"/>
                  <w:sz w:val="32"/>
                  <w:szCs w:val="32"/>
                </w:rPr>
                <m:t>,</m:t>
              </m:r>
              <m:f>
                <m:fPr>
                  <m:ctrlPr>
                    <w:rPr>
                      <w:rFonts w:hint="eastAsia" w:ascii="Cambria Math" w:hAnsi="Cambria Math" w:eastAsia="宋体" w:cs="宋体"/>
                      <w:b w:val="0"/>
                      <w:bCs w:val="0"/>
                      <w:sz w:val="32"/>
                      <w:szCs w:val="32"/>
                    </w:rPr>
                  </m:ctrlPr>
                </m:fPr>
                <m:num>
                  <m:r>
                    <m:rPr/>
                    <w:rPr>
                      <w:rFonts w:hint="eastAsia" w:ascii="Cambria Math" w:hAnsi="Cambria Math" w:eastAsia="宋体" w:cs="宋体"/>
                      <w:sz w:val="32"/>
                      <w:szCs w:val="32"/>
                    </w:rPr>
                    <m:t>α</m:t>
                  </m:r>
                  <m:ctrlPr>
                    <w:rPr>
                      <w:rFonts w:hint="eastAsia" w:ascii="Cambria Math" w:hAnsi="Cambria Math" w:eastAsia="宋体" w:cs="宋体"/>
                      <w:b w:val="0"/>
                      <w:bCs w:val="0"/>
                      <w:sz w:val="32"/>
                      <w:szCs w:val="32"/>
                    </w:rPr>
                  </m:ctrlPr>
                </m:num>
                <m:den>
                  <m:rad>
                    <m:radPr>
                      <m:degHide m:val="1"/>
                      <m:ctrlPr>
                        <w:rPr>
                          <w:rFonts w:hint="eastAsia" w:ascii="Cambria Math" w:hAnsi="Cambria Math" w:eastAsia="宋体" w:cs="宋体"/>
                          <w:b w:val="0"/>
                          <w:bCs w:val="0"/>
                          <w:sz w:val="32"/>
                          <w:szCs w:val="32"/>
                        </w:rPr>
                      </m:ctrlPr>
                    </m:radPr>
                    <m:deg>
                      <m:ctrlPr>
                        <w:rPr>
                          <w:rFonts w:hint="eastAsia" w:ascii="Cambria Math" w:hAnsi="Cambria Math" w:eastAsia="宋体" w:cs="宋体"/>
                          <w:b w:val="0"/>
                          <w:bCs w:val="0"/>
                          <w:sz w:val="32"/>
                          <w:szCs w:val="32"/>
                        </w:rPr>
                      </m:ctrlPr>
                    </m:deg>
                    <m:e>
                      <m:r>
                        <m:rPr/>
                        <w:rPr>
                          <w:rFonts w:hint="eastAsia" w:ascii="Cambria Math" w:hAnsi="Cambria Math" w:eastAsia="宋体" w:cs="宋体"/>
                          <w:sz w:val="32"/>
                          <w:szCs w:val="32"/>
                        </w:rPr>
                        <m:t>Ld</m:t>
                      </m:r>
                      <m:ctrlPr>
                        <w:rPr>
                          <w:rFonts w:hint="eastAsia" w:ascii="Cambria Math" w:hAnsi="Cambria Math" w:eastAsia="宋体" w:cs="宋体"/>
                          <w:b w:val="0"/>
                          <w:bCs w:val="0"/>
                          <w:sz w:val="32"/>
                          <w:szCs w:val="32"/>
                        </w:rPr>
                      </m:ctrlPr>
                    </m:e>
                  </m:rad>
                  <m:ctrlPr>
                    <w:rPr>
                      <w:rFonts w:hint="eastAsia" w:ascii="Cambria Math" w:hAnsi="Cambria Math" w:eastAsia="宋体" w:cs="宋体"/>
                      <w:b w:val="0"/>
                      <w:bCs w:val="0"/>
                      <w:sz w:val="32"/>
                      <w:szCs w:val="32"/>
                    </w:rPr>
                  </m:ctrlPr>
                </m:den>
              </m:f>
              <m:ctrlPr>
                <w:rPr>
                  <w:rFonts w:hint="eastAsia" w:ascii="Cambria Math" w:hAnsi="Cambria Math" w:eastAsia="宋体" w:cs="宋体"/>
                  <w:b w:val="0"/>
                  <w:bCs w:val="0"/>
                  <w:sz w:val="32"/>
                  <w:szCs w:val="32"/>
                </w:rPr>
              </m:ctrlPr>
            </m:e>
          </m:d>
          <m:r>
            <m:rPr>
              <m:sty m:val="p"/>
            </m:rPr>
            <w:rPr>
              <w:rFonts w:hint="eastAsia" w:ascii="Cambria Math" w:hAnsi="Cambria Math" w:eastAsia="宋体" w:cs="宋体"/>
              <w:sz w:val="32"/>
              <w:szCs w:val="32"/>
            </w:rPr>
            <m:t>,</m:t>
          </m:r>
        </m:oMath>
      </m:oMathPara>
    </w:p>
    <w:p w14:paraId="35405439">
      <w:pPr>
        <w:pStyle w:val="20"/>
        <w:rPr>
          <w:rFonts w:hint="eastAsia" w:ascii="宋体" w:hAnsi="宋体" w:eastAsia="宋体" w:cs="宋体"/>
          <w:sz w:val="24"/>
          <w:szCs w:val="24"/>
        </w:rPr>
      </w:pPr>
      <w:r>
        <w:rPr>
          <w:rFonts w:hint="eastAsia" w:ascii="宋体" w:hAnsi="宋体" w:eastAsia="宋体" w:cs="宋体"/>
          <w:sz w:val="24"/>
          <w:szCs w:val="24"/>
        </w:rPr>
        <w:t>其中，</w:t>
      </w:r>
      <m:oMath>
        <m:r>
          <m:rPr/>
          <w:rPr>
            <w:rFonts w:hint="eastAsia" w:ascii="Cambria Math" w:hAnsi="Cambria Math" w:eastAsia="宋体" w:cs="宋体"/>
            <w:sz w:val="24"/>
            <w:szCs w:val="24"/>
          </w:rPr>
          <m:t>L</m:t>
        </m:r>
      </m:oMath>
      <w:r>
        <w:rPr>
          <w:rFonts w:hint="eastAsia" w:ascii="宋体" w:hAnsi="宋体" w:eastAsia="宋体" w:cs="宋体"/>
          <w:sz w:val="24"/>
          <w:szCs w:val="24"/>
        </w:rPr>
        <w:t xml:space="preserve"> 表示输入序列长度，</w:t>
      </w:r>
      <m:oMath>
        <m:r>
          <m:rPr/>
          <w:rPr>
            <w:rFonts w:hint="eastAsia" w:ascii="Cambria Math" w:hAnsi="Cambria Math" w:eastAsia="宋体" w:cs="宋体"/>
            <w:sz w:val="24"/>
            <w:szCs w:val="24"/>
          </w:rPr>
          <m:t>d</m:t>
        </m:r>
      </m:oMath>
      <w:r>
        <w:rPr>
          <w:rFonts w:hint="eastAsia" w:ascii="宋体" w:hAnsi="宋体" w:eastAsia="宋体" w:cs="宋体"/>
          <w:sz w:val="24"/>
          <w:szCs w:val="24"/>
        </w:rPr>
        <w:t xml:space="preserve"> 表示 embedding 维度，</w:t>
      </w:r>
      <m:oMath>
        <m:r>
          <m:rPr/>
          <w:rPr>
            <w:rFonts w:hint="eastAsia" w:ascii="Cambria Math" w:hAnsi="Cambria Math" w:eastAsia="宋体" w:cs="宋体"/>
            <w:sz w:val="24"/>
            <w:szCs w:val="24"/>
          </w:rPr>
          <m:t>α</m:t>
        </m:r>
      </m:oMath>
      <w:r>
        <w:rPr>
          <w:rFonts w:hint="eastAsia" w:ascii="宋体" w:hAnsi="宋体" w:eastAsia="宋体" w:cs="宋体"/>
          <w:sz w:val="24"/>
          <w:szCs w:val="24"/>
        </w:rPr>
        <w:t xml:space="preserve"> 为噪声强度超参数。通过在 embedding 层引入轻微扰动，NEFTune 能够降低模型对训练样本中特定表征模式的过度依赖，使模型在面对相似但未见过的输入时具有更好的泛化能力。</w:t>
      </w:r>
    </w:p>
    <w:p w14:paraId="539732BF">
      <w:pPr>
        <w:pStyle w:val="6"/>
        <w:ind w:firstLine="420" w:firstLineChars="0"/>
        <w:rPr>
          <w:rFonts w:hint="eastAsia" w:ascii="宋体" w:hAnsi="宋体" w:eastAsia="宋体" w:cs="宋体"/>
          <w:sz w:val="24"/>
          <w:szCs w:val="24"/>
        </w:rPr>
      </w:pPr>
      <w:r>
        <w:rPr>
          <w:rFonts w:hint="eastAsia" w:ascii="宋体" w:hAnsi="宋体" w:eastAsia="宋体" w:cs="宋体"/>
          <w:sz w:val="24"/>
          <w:szCs w:val="24"/>
        </w:rPr>
        <w:t>与直接修改模型结构或增加额外参数不同，NEFTune 只在训练阶段改变 embedding 输入，不改变原始模型架构，也不改变推理阶段的计算流程。也就是说，在训练时模型接收的是带噪声的 embedding，而在推理时仍然使用原始 embedding。因此，该方法可以在不增加推理成本的情况下提升模型稳定性和泛化表现。对于本研究中的 GPTQ + LoRA 微调框架而言，NEFTune 可以作为 LoRA 微调后的进一步正则化增强手段，用于缓解短训过程中可能存在的过拟合风险，并提升模型输出的鲁棒性。</w:t>
      </w:r>
    </w:p>
    <w:p w14:paraId="4753C738">
      <w:pPr>
        <w:numPr>
          <w:ilvl w:val="0"/>
          <w:numId w:val="0"/>
        </w:numPr>
        <w:ind w:firstLine="420" w:firstLineChars="0"/>
        <w:rPr>
          <w:rFonts w:ascii="宋体" w:hAnsi="宋体" w:eastAsia="宋体" w:cs="宋体"/>
          <w:sz w:val="24"/>
          <w:szCs w:val="24"/>
        </w:rPr>
      </w:pPr>
      <w:r>
        <w:rPr>
          <w:rFonts w:hint="eastAsia" w:ascii="宋体" w:hAnsi="宋体" w:eastAsia="宋体" w:cs="宋体"/>
          <w:sz w:val="24"/>
          <w:szCs w:val="24"/>
          <w:lang w:val="en-US" w:eastAsia="zh-CN"/>
        </w:rPr>
        <w:t>在阶段二中，我们</w:t>
      </w:r>
      <w:r>
        <w:rPr>
          <w:rFonts w:ascii="宋体" w:hAnsi="宋体" w:eastAsia="宋体" w:cs="宋体"/>
          <w:sz w:val="24"/>
          <w:szCs w:val="24"/>
        </w:rPr>
        <w:t>固定</w:t>
      </w:r>
      <w:r>
        <w:rPr>
          <w:rFonts w:hint="eastAsia" w:ascii="宋体" w:hAnsi="宋体" w:eastAsia="宋体" w:cs="宋体"/>
          <w:sz w:val="24"/>
          <w:szCs w:val="24"/>
          <w:lang w:val="en-US" w:eastAsia="zh-CN"/>
        </w:rPr>
        <w:t>阶段一</w:t>
      </w:r>
      <w:r>
        <w:rPr>
          <w:rFonts w:ascii="宋体" w:hAnsi="宋体" w:eastAsia="宋体" w:cs="宋体"/>
          <w:sz w:val="24"/>
          <w:szCs w:val="24"/>
        </w:rPr>
        <w:t xml:space="preserve">选出的最优基础配置 </w:t>
      </w:r>
      <w:r>
        <w:rPr>
          <w:rStyle w:val="15"/>
          <w:rFonts w:ascii="宋体" w:hAnsi="宋体" w:eastAsia="宋体" w:cs="宋体"/>
          <w:sz w:val="24"/>
          <w:szCs w:val="24"/>
        </w:rPr>
        <w:t>bohb_03</w:t>
      </w:r>
      <w:r>
        <w:rPr>
          <w:rFonts w:ascii="宋体" w:hAnsi="宋体" w:eastAsia="宋体" w:cs="宋体"/>
          <w:sz w:val="24"/>
          <w:szCs w:val="24"/>
        </w:rPr>
        <w:t>，只额外比较</w:t>
      </w:r>
      <w:r>
        <w:rPr>
          <w:rFonts w:ascii="宋体" w:hAnsi="宋体" w:eastAsia="宋体" w:cs="宋体"/>
          <w:b w:val="0"/>
          <w:bCs w:val="0"/>
          <w:sz w:val="24"/>
          <w:szCs w:val="24"/>
        </w:rPr>
        <w:t xml:space="preserve"> NEFTune </w:t>
      </w:r>
      <w:r>
        <w:rPr>
          <w:rFonts w:ascii="宋体" w:hAnsi="宋体" w:eastAsia="宋体" w:cs="宋体"/>
          <w:sz w:val="24"/>
          <w:szCs w:val="24"/>
        </w:rPr>
        <w:t>正则化增强效果</w:t>
      </w:r>
      <w:r>
        <w:rPr>
          <w:rFonts w:hint="eastAsia" w:ascii="宋体" w:hAnsi="宋体" w:eastAsia="宋体" w:cs="宋体"/>
          <w:b w:val="0"/>
          <w:bCs w:val="0"/>
          <w:sz w:val="24"/>
          <w:szCs w:val="24"/>
          <w:lang w:val="en-US" w:eastAsia="zh-CN"/>
        </w:rPr>
        <w:t>。换句话说，本研究</w:t>
      </w:r>
      <w:r>
        <w:rPr>
          <w:rFonts w:ascii="宋体" w:hAnsi="宋体" w:eastAsia="宋体" w:cs="宋体"/>
          <w:sz w:val="24"/>
          <w:szCs w:val="24"/>
        </w:rPr>
        <w:t xml:space="preserve">仅调整 </w:t>
      </w:r>
      <w:r>
        <w:rPr>
          <w:rStyle w:val="15"/>
          <w:rFonts w:ascii="宋体" w:hAnsi="宋体" w:eastAsia="宋体" w:cs="宋体"/>
          <w:sz w:val="24"/>
          <w:szCs w:val="24"/>
        </w:rPr>
        <w:t>neftune_noise_alpha</w:t>
      </w:r>
      <w:r>
        <w:rPr>
          <w:rFonts w:ascii="宋体" w:hAnsi="宋体" w:eastAsia="宋体" w:cs="宋体"/>
          <w:sz w:val="24"/>
          <w:szCs w:val="24"/>
        </w:rPr>
        <w:t>，比较无 NEFTune、NEFTune alpha = 5 和 NEFTune alpha = 10 三组结果。通过比较 eval_loss、train_loss、generalization gap 和训练时间，可以判断 NEFTune 是否在不显著增加训练成本的情况下提升模型泛化能力。</w:t>
      </w:r>
    </w:p>
    <w:p w14:paraId="0451DEA1">
      <w:pPr>
        <w:pStyle w:val="10"/>
        <w:keepNext w:val="0"/>
        <w:keepLines w:val="0"/>
        <w:widowControl/>
        <w:suppressLineNumbers w:val="0"/>
        <w:spacing w:before="0" w:beforeAutospacing="1" w:after="0" w:afterAutospacing="1"/>
        <w:ind w:left="0" w:right="0" w:firstLine="420" w:firstLineChars="0"/>
        <w:rPr>
          <w:rFonts w:hint="eastAsia" w:ascii="宋体" w:hAnsi="宋体" w:eastAsia="宋体" w:cs="宋体"/>
          <w:b w:val="0"/>
          <w:bCs/>
          <w:sz w:val="24"/>
          <w:szCs w:val="24"/>
        </w:rPr>
      </w:pPr>
      <w:r>
        <w:rPr>
          <w:rStyle w:val="14"/>
          <w:rFonts w:hint="eastAsia" w:ascii="宋体" w:hAnsi="宋体" w:eastAsia="宋体" w:cs="宋体"/>
          <w:b w:val="0"/>
          <w:bCs/>
          <w:sz w:val="24"/>
          <w:szCs w:val="24"/>
        </w:rPr>
        <w:t xml:space="preserve">在固定 Stage 1 最优基础配置 </w:t>
      </w:r>
      <w:r>
        <w:rPr>
          <w:rStyle w:val="15"/>
          <w:rFonts w:hint="eastAsia" w:ascii="宋体" w:hAnsi="宋体" w:eastAsia="宋体" w:cs="宋体"/>
          <w:b w:val="0"/>
          <w:bCs/>
          <w:sz w:val="24"/>
          <w:szCs w:val="24"/>
        </w:rPr>
        <w:t>bohb_03</w:t>
      </w:r>
      <w:r>
        <w:rPr>
          <w:rStyle w:val="14"/>
          <w:rFonts w:hint="eastAsia" w:ascii="宋体" w:hAnsi="宋体" w:eastAsia="宋体" w:cs="宋体"/>
          <w:b w:val="0"/>
          <w:bCs/>
          <w:sz w:val="24"/>
          <w:szCs w:val="24"/>
        </w:rPr>
        <w:t xml:space="preserve"> 后，进一步加入 NEFTune 并没有提升模型表现，反而随着噪声强度增加，验证损失、训练损失和训练时间都上升。</w:t>
      </w:r>
    </w:p>
    <w:p w14:paraId="0153BA91">
      <w:pPr>
        <w:numPr>
          <w:ilvl w:val="0"/>
          <w:numId w:val="0"/>
        </w:numPr>
        <w:ind w:firstLine="420" w:firstLineChars="0"/>
        <w:rPr>
          <w:rFonts w:hint="eastAsia" w:ascii="宋体" w:hAnsi="宋体" w:eastAsia="宋体" w:cs="宋体"/>
          <w:sz w:val="24"/>
          <w:szCs w:val="24"/>
          <w:lang w:eastAsia="zh-CN"/>
        </w:rPr>
      </w:pPr>
    </w:p>
    <w:p w14:paraId="6279B0F1">
      <w:pPr>
        <w:numPr>
          <w:ilvl w:val="0"/>
          <w:numId w:val="0"/>
        </w:numPr>
        <w:rPr>
          <w:rFonts w:hint="eastAsia" w:ascii="宋体" w:hAnsi="宋体" w:eastAsia="宋体" w:cs="宋体"/>
          <w:b w:val="0"/>
          <w:bCs w:val="0"/>
          <w:sz w:val="24"/>
          <w:szCs w:val="24"/>
          <w:lang w:eastAsia="zh-CN"/>
        </w:rPr>
      </w:pPr>
      <w:r>
        <w:drawing>
          <wp:inline distT="0" distB="0" distL="114300" distR="114300">
            <wp:extent cx="6202045" cy="4126865"/>
            <wp:effectExtent l="0" t="0" r="5080" b="762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7"/>
                    <a:stretch>
                      <a:fillRect/>
                    </a:stretch>
                  </pic:blipFill>
                  <pic:spPr>
                    <a:xfrm>
                      <a:off x="0" y="0"/>
                      <a:ext cx="6202045" cy="4126865"/>
                    </a:xfrm>
                    <a:prstGeom prst="rect">
                      <a:avLst/>
                    </a:prstGeom>
                    <a:noFill/>
                    <a:ln>
                      <a:noFill/>
                    </a:ln>
                  </pic:spPr>
                </pic:pic>
              </a:graphicData>
            </a:graphic>
          </wp:inline>
        </w:drawing>
      </w:r>
    </w:p>
    <w:p w14:paraId="24914440">
      <w:pPr>
        <w:pStyle w:val="10"/>
        <w:keepNext w:val="0"/>
        <w:keepLines w:val="0"/>
        <w:widowControl/>
        <w:suppressLineNumbers w:val="0"/>
        <w:ind w:firstLine="420" w:firstLineChars="0"/>
        <w:jc w:val="center"/>
        <w:rPr>
          <w:rFonts w:hint="eastAsia" w:ascii="宋体" w:hAnsi="宋体" w:eastAsia="宋体" w:cs="宋体"/>
          <w:b w:val="0"/>
          <w:bCs/>
          <w:sz w:val="22"/>
          <w:szCs w:val="22"/>
        </w:rPr>
      </w:pPr>
      <w:r>
        <w:rPr>
          <w:rFonts w:hint="eastAsia" w:ascii="宋体" w:hAnsi="宋体" w:eastAsia="宋体" w:cs="宋体"/>
          <w:sz w:val="22"/>
          <w:szCs w:val="22"/>
          <w:lang w:val="en-US" w:eastAsia="zh-CN"/>
        </w:rPr>
        <w:t xml:space="preserve">图11 </w:t>
      </w:r>
      <w:r>
        <w:rPr>
          <w:rFonts w:ascii="宋体" w:hAnsi="宋体" w:eastAsia="宋体" w:cs="宋体"/>
          <w:sz w:val="22"/>
          <w:szCs w:val="22"/>
        </w:rPr>
        <w:t>NEFTune 正则化增强实验结果对比</w:t>
      </w:r>
    </w:p>
    <w:p w14:paraId="53498467">
      <w:pPr>
        <w:pStyle w:val="10"/>
        <w:keepNext w:val="0"/>
        <w:keepLines w:val="0"/>
        <w:widowControl/>
        <w:suppressLineNumbers w:val="0"/>
        <w:ind w:firstLine="420" w:firstLineChars="0"/>
        <w:rPr>
          <w:rFonts w:hint="eastAsia" w:ascii="宋体" w:hAnsi="宋体" w:eastAsia="宋体" w:cs="宋体"/>
          <w:b w:val="0"/>
          <w:bCs/>
          <w:sz w:val="24"/>
          <w:szCs w:val="24"/>
        </w:rPr>
      </w:pPr>
      <w:r>
        <w:rPr>
          <w:rFonts w:hint="eastAsia" w:ascii="宋体" w:hAnsi="宋体" w:eastAsia="宋体" w:cs="宋体"/>
          <w:b w:val="0"/>
          <w:bCs/>
          <w:sz w:val="24"/>
          <w:szCs w:val="24"/>
        </w:rPr>
        <w:t xml:space="preserve">第一，左上图显示 </w:t>
      </w:r>
      <w:r>
        <w:rPr>
          <w:rStyle w:val="15"/>
          <w:rFonts w:hint="eastAsia" w:ascii="宋体" w:hAnsi="宋体" w:eastAsia="宋体" w:cs="宋体"/>
          <w:b w:val="0"/>
          <w:bCs/>
          <w:sz w:val="24"/>
          <w:szCs w:val="24"/>
        </w:rPr>
        <w:t>neftune_noise_alpha</w:t>
      </w:r>
      <w:r>
        <w:rPr>
          <w:rFonts w:hint="eastAsia" w:ascii="宋体" w:hAnsi="宋体" w:eastAsia="宋体" w:cs="宋体"/>
          <w:b w:val="0"/>
          <w:bCs/>
          <w:sz w:val="24"/>
          <w:szCs w:val="24"/>
        </w:rPr>
        <w:t xml:space="preserve"> 从 0 增加到 5、10 时，</w:t>
      </w:r>
      <w:r>
        <w:rPr>
          <w:rStyle w:val="15"/>
          <w:rFonts w:hint="eastAsia" w:ascii="宋体" w:hAnsi="宋体" w:eastAsia="宋体" w:cs="宋体"/>
          <w:b w:val="0"/>
          <w:bCs/>
          <w:sz w:val="24"/>
          <w:szCs w:val="24"/>
        </w:rPr>
        <w:t>eval_loss</w:t>
      </w:r>
      <w:r>
        <w:rPr>
          <w:rFonts w:hint="eastAsia" w:ascii="宋体" w:hAnsi="宋体" w:eastAsia="宋体" w:cs="宋体"/>
          <w:b w:val="0"/>
          <w:bCs/>
          <w:sz w:val="24"/>
          <w:szCs w:val="24"/>
        </w:rPr>
        <w:t xml:space="preserve"> 从 </w:t>
      </w:r>
      <w:r>
        <w:rPr>
          <w:rStyle w:val="15"/>
          <w:rFonts w:hint="eastAsia" w:ascii="宋体" w:hAnsi="宋体" w:eastAsia="宋体" w:cs="宋体"/>
          <w:b w:val="0"/>
          <w:bCs/>
          <w:sz w:val="24"/>
          <w:szCs w:val="24"/>
        </w:rPr>
        <w:t>0.9969</w:t>
      </w:r>
      <w:r>
        <w:rPr>
          <w:rFonts w:hint="eastAsia" w:ascii="宋体" w:hAnsi="宋体" w:eastAsia="宋体" w:cs="宋体"/>
          <w:b w:val="0"/>
          <w:bCs/>
          <w:sz w:val="24"/>
          <w:szCs w:val="24"/>
        </w:rPr>
        <w:t xml:space="preserve"> 上升到 </w:t>
      </w:r>
      <w:r>
        <w:rPr>
          <w:rStyle w:val="15"/>
          <w:rFonts w:hint="eastAsia" w:ascii="宋体" w:hAnsi="宋体" w:eastAsia="宋体" w:cs="宋体"/>
          <w:b w:val="0"/>
          <w:bCs/>
          <w:sz w:val="24"/>
          <w:szCs w:val="24"/>
        </w:rPr>
        <w:t>1.0069</w:t>
      </w:r>
      <w:r>
        <w:rPr>
          <w:rFonts w:hint="eastAsia" w:ascii="宋体" w:hAnsi="宋体" w:eastAsia="宋体" w:cs="宋体"/>
          <w:b w:val="0"/>
          <w:bCs/>
          <w:sz w:val="24"/>
          <w:szCs w:val="24"/>
        </w:rPr>
        <w:t xml:space="preserve"> 和 </w:t>
      </w:r>
      <w:r>
        <w:rPr>
          <w:rStyle w:val="15"/>
          <w:rFonts w:hint="eastAsia" w:ascii="宋体" w:hAnsi="宋体" w:eastAsia="宋体" w:cs="宋体"/>
          <w:b w:val="0"/>
          <w:bCs/>
          <w:sz w:val="24"/>
          <w:szCs w:val="24"/>
        </w:rPr>
        <w:t>1.0178</w:t>
      </w:r>
      <w:r>
        <w:rPr>
          <w:rFonts w:hint="eastAsia" w:ascii="宋体" w:hAnsi="宋体" w:eastAsia="宋体" w:cs="宋体"/>
          <w:b w:val="0"/>
          <w:bCs/>
          <w:sz w:val="24"/>
          <w:szCs w:val="24"/>
        </w:rPr>
        <w:t>。这说明在当前 GPTQ + LoRA 微调框架下，NEFTune 的 embedding 噪声没有带来更好的泛化能力；相反，噪声越强，验证集表现越差。因此，仅从 eval_loss 来看，</w:t>
      </w:r>
      <w:r>
        <w:rPr>
          <w:rStyle w:val="15"/>
          <w:rFonts w:hint="eastAsia" w:ascii="宋体" w:hAnsi="宋体" w:eastAsia="宋体" w:cs="宋体"/>
          <w:b w:val="0"/>
          <w:bCs/>
          <w:sz w:val="24"/>
          <w:szCs w:val="24"/>
        </w:rPr>
        <w:t>stage2_base</w:t>
      </w:r>
      <w:r>
        <w:rPr>
          <w:rFonts w:hint="eastAsia" w:ascii="宋体" w:hAnsi="宋体" w:eastAsia="宋体" w:cs="宋体"/>
          <w:b w:val="0"/>
          <w:bCs/>
          <w:sz w:val="24"/>
          <w:szCs w:val="24"/>
        </w:rPr>
        <w:t xml:space="preserve"> 仍然是最优配置。</w:t>
      </w:r>
    </w:p>
    <w:p w14:paraId="3861D3D0">
      <w:pPr>
        <w:pStyle w:val="10"/>
        <w:keepNext w:val="0"/>
        <w:keepLines w:val="0"/>
        <w:widowControl/>
        <w:suppressLineNumbers w:val="0"/>
        <w:ind w:firstLine="420" w:firstLineChars="0"/>
        <w:rPr>
          <w:rFonts w:hint="eastAsia" w:ascii="宋体" w:hAnsi="宋体" w:eastAsia="宋体" w:cs="宋体"/>
          <w:b w:val="0"/>
          <w:bCs/>
          <w:sz w:val="24"/>
          <w:szCs w:val="24"/>
        </w:rPr>
      </w:pPr>
      <w:r>
        <w:rPr>
          <w:rFonts w:hint="eastAsia" w:ascii="宋体" w:hAnsi="宋体" w:eastAsia="宋体" w:cs="宋体"/>
          <w:b w:val="0"/>
          <w:bCs/>
          <w:sz w:val="24"/>
          <w:szCs w:val="24"/>
        </w:rPr>
        <w:t>第二，右上图进一步说明，随着 NEFTune 强度增加，</w:t>
      </w:r>
      <w:r>
        <w:rPr>
          <w:rStyle w:val="15"/>
          <w:rFonts w:hint="eastAsia" w:ascii="宋体" w:hAnsi="宋体" w:eastAsia="宋体" w:cs="宋体"/>
          <w:b w:val="0"/>
          <w:bCs/>
          <w:sz w:val="24"/>
          <w:szCs w:val="24"/>
        </w:rPr>
        <w:t>train_loss</w:t>
      </w:r>
      <w:r>
        <w:rPr>
          <w:rFonts w:hint="eastAsia" w:ascii="宋体" w:hAnsi="宋体" w:eastAsia="宋体" w:cs="宋体"/>
          <w:b w:val="0"/>
          <w:bCs/>
          <w:sz w:val="24"/>
          <w:szCs w:val="24"/>
        </w:rPr>
        <w:t xml:space="preserve"> 和 </w:t>
      </w:r>
      <w:r>
        <w:rPr>
          <w:rStyle w:val="15"/>
          <w:rFonts w:hint="eastAsia" w:ascii="宋体" w:hAnsi="宋体" w:eastAsia="宋体" w:cs="宋体"/>
          <w:b w:val="0"/>
          <w:bCs/>
          <w:sz w:val="24"/>
          <w:szCs w:val="24"/>
        </w:rPr>
        <w:t>eval_loss</w:t>
      </w:r>
      <w:r>
        <w:rPr>
          <w:rFonts w:hint="eastAsia" w:ascii="宋体" w:hAnsi="宋体" w:eastAsia="宋体" w:cs="宋体"/>
          <w:b w:val="0"/>
          <w:bCs/>
          <w:sz w:val="24"/>
          <w:szCs w:val="24"/>
        </w:rPr>
        <w:t xml:space="preserve"> 都呈上升趋势。尤其是 </w:t>
      </w:r>
      <w:r>
        <w:rPr>
          <w:rStyle w:val="15"/>
          <w:rFonts w:hint="eastAsia" w:ascii="宋体" w:hAnsi="宋体" w:eastAsia="宋体" w:cs="宋体"/>
          <w:b w:val="0"/>
          <w:bCs/>
          <w:sz w:val="24"/>
          <w:szCs w:val="24"/>
        </w:rPr>
        <w:t>stage2_neftune_10</w:t>
      </w:r>
      <w:r>
        <w:rPr>
          <w:rFonts w:hint="eastAsia" w:ascii="宋体" w:hAnsi="宋体" w:eastAsia="宋体" w:cs="宋体"/>
          <w:b w:val="0"/>
          <w:bCs/>
          <w:sz w:val="24"/>
          <w:szCs w:val="24"/>
        </w:rPr>
        <w:t xml:space="preserve"> 的 </w:t>
      </w:r>
      <w:r>
        <w:rPr>
          <w:rStyle w:val="15"/>
          <w:rFonts w:hint="eastAsia" w:ascii="宋体" w:hAnsi="宋体" w:eastAsia="宋体" w:cs="宋体"/>
          <w:b w:val="0"/>
          <w:bCs/>
          <w:sz w:val="24"/>
          <w:szCs w:val="24"/>
        </w:rPr>
        <w:t>train_loss</w:t>
      </w:r>
      <w:r>
        <w:rPr>
          <w:rFonts w:hint="eastAsia" w:ascii="宋体" w:hAnsi="宋体" w:eastAsia="宋体" w:cs="宋体"/>
          <w:b w:val="0"/>
          <w:bCs/>
          <w:sz w:val="24"/>
          <w:szCs w:val="24"/>
        </w:rPr>
        <w:t xml:space="preserve"> 明显升高到 </w:t>
      </w:r>
      <w:r>
        <w:rPr>
          <w:rStyle w:val="15"/>
          <w:rFonts w:hint="eastAsia" w:ascii="宋体" w:hAnsi="宋体" w:eastAsia="宋体" w:cs="宋体"/>
          <w:b w:val="0"/>
          <w:bCs/>
          <w:sz w:val="24"/>
          <w:szCs w:val="24"/>
        </w:rPr>
        <w:t>1.1646</w:t>
      </w:r>
      <w:r>
        <w:rPr>
          <w:rFonts w:hint="eastAsia" w:ascii="宋体" w:hAnsi="宋体" w:eastAsia="宋体" w:cs="宋体"/>
          <w:b w:val="0"/>
          <w:bCs/>
          <w:sz w:val="24"/>
          <w:szCs w:val="24"/>
        </w:rPr>
        <w:t xml:space="preserve">，说明较强的 embedding 噪声增加了训练难度。同时，三组配置中 </w:t>
      </w:r>
      <w:r>
        <w:rPr>
          <w:rStyle w:val="15"/>
          <w:rFonts w:hint="eastAsia" w:ascii="宋体" w:hAnsi="宋体" w:eastAsia="宋体" w:cs="宋体"/>
          <w:b w:val="0"/>
          <w:bCs/>
          <w:sz w:val="24"/>
          <w:szCs w:val="24"/>
        </w:rPr>
        <w:t>eval_loss</w:t>
      </w:r>
      <w:r>
        <w:rPr>
          <w:rFonts w:hint="eastAsia" w:ascii="宋体" w:hAnsi="宋体" w:eastAsia="宋体" w:cs="宋体"/>
          <w:b w:val="0"/>
          <w:bCs/>
          <w:sz w:val="24"/>
          <w:szCs w:val="24"/>
        </w:rPr>
        <w:t xml:space="preserve"> 均低于 </w:t>
      </w:r>
      <w:r>
        <w:rPr>
          <w:rStyle w:val="15"/>
          <w:rFonts w:hint="eastAsia" w:ascii="宋体" w:hAnsi="宋体" w:eastAsia="宋体" w:cs="宋体"/>
          <w:b w:val="0"/>
          <w:bCs/>
          <w:sz w:val="24"/>
          <w:szCs w:val="24"/>
        </w:rPr>
        <w:t>train_loss</w:t>
      </w:r>
      <w:r>
        <w:rPr>
          <w:rFonts w:hint="eastAsia" w:ascii="宋体" w:hAnsi="宋体" w:eastAsia="宋体" w:cs="宋体"/>
          <w:b w:val="0"/>
          <w:bCs/>
          <w:sz w:val="24"/>
          <w:szCs w:val="24"/>
        </w:rPr>
        <w:t>，说明没有出现典型的过拟合现象；问题不在于过拟合，而在于 NEFTune 噪声本身没有改善模型学习效果。</w:t>
      </w:r>
    </w:p>
    <w:p w14:paraId="77F09E87">
      <w:pPr>
        <w:pStyle w:val="10"/>
        <w:keepNext w:val="0"/>
        <w:keepLines w:val="0"/>
        <w:widowControl/>
        <w:suppressLineNumbers w:val="0"/>
        <w:ind w:firstLine="420" w:firstLineChars="0"/>
        <w:rPr>
          <w:rFonts w:hint="eastAsia" w:ascii="宋体" w:hAnsi="宋体" w:eastAsia="宋体" w:cs="宋体"/>
          <w:sz w:val="24"/>
          <w:szCs w:val="24"/>
        </w:rPr>
      </w:pPr>
      <w:r>
        <w:rPr>
          <w:rFonts w:hint="eastAsia" w:ascii="宋体" w:hAnsi="宋体" w:eastAsia="宋体" w:cs="宋体"/>
          <w:b w:val="0"/>
          <w:bCs/>
          <w:sz w:val="24"/>
          <w:szCs w:val="24"/>
        </w:rPr>
        <w:t xml:space="preserve">第三，左下图显示三组 generalization gap 均为负值，说明验证损失低于训练损失。其中 </w:t>
      </w:r>
      <w:r>
        <w:rPr>
          <w:rStyle w:val="15"/>
          <w:rFonts w:hint="eastAsia" w:ascii="宋体" w:hAnsi="宋体" w:eastAsia="宋体" w:cs="宋体"/>
          <w:b w:val="0"/>
          <w:bCs/>
          <w:sz w:val="24"/>
          <w:szCs w:val="24"/>
        </w:rPr>
        <w:t>stage2_neftune_5</w:t>
      </w:r>
      <w:r>
        <w:rPr>
          <w:rFonts w:hint="eastAsia" w:ascii="宋体" w:hAnsi="宋体" w:eastAsia="宋体" w:cs="宋体"/>
          <w:b w:val="0"/>
          <w:bCs/>
          <w:sz w:val="24"/>
          <w:szCs w:val="24"/>
        </w:rPr>
        <w:t xml:space="preserve"> 的 gap 最接近 0，但它的 eval_loss 仍高于 </w:t>
      </w:r>
      <w:r>
        <w:rPr>
          <w:rStyle w:val="15"/>
          <w:rFonts w:hint="eastAsia" w:ascii="宋体" w:hAnsi="宋体" w:eastAsia="宋体" w:cs="宋体"/>
          <w:b w:val="0"/>
          <w:bCs/>
          <w:sz w:val="24"/>
          <w:szCs w:val="24"/>
        </w:rPr>
        <w:t>stage2_base</w:t>
      </w:r>
      <w:r>
        <w:rPr>
          <w:rFonts w:hint="eastAsia" w:ascii="宋体" w:hAnsi="宋体" w:eastAsia="宋体" w:cs="宋体"/>
          <w:b w:val="0"/>
          <w:bCs/>
          <w:sz w:val="24"/>
          <w:szCs w:val="24"/>
        </w:rPr>
        <w:t>，所以不能认为它更优。右下图则表明，NEFTune 还带来了更高训练时间：</w:t>
      </w:r>
      <w:r>
        <w:rPr>
          <w:rStyle w:val="15"/>
          <w:rFonts w:hint="eastAsia" w:ascii="宋体" w:hAnsi="宋体" w:eastAsia="宋体" w:cs="宋体"/>
          <w:b w:val="0"/>
          <w:bCs/>
          <w:sz w:val="24"/>
          <w:szCs w:val="24"/>
        </w:rPr>
        <w:t>stage2_base</w:t>
      </w:r>
      <w:r>
        <w:rPr>
          <w:rFonts w:hint="eastAsia" w:ascii="宋体" w:hAnsi="宋体" w:eastAsia="宋体" w:cs="宋体"/>
          <w:b w:val="0"/>
          <w:bCs/>
          <w:sz w:val="24"/>
          <w:szCs w:val="24"/>
        </w:rPr>
        <w:t xml:space="preserve"> 的训练时间最低且 eval_loss 最低，而 </w:t>
      </w:r>
      <w:r>
        <w:rPr>
          <w:rStyle w:val="15"/>
          <w:rFonts w:hint="eastAsia" w:ascii="宋体" w:hAnsi="宋体" w:eastAsia="宋体" w:cs="宋体"/>
          <w:b w:val="0"/>
          <w:bCs/>
          <w:sz w:val="24"/>
          <w:szCs w:val="24"/>
        </w:rPr>
        <w:t>stage2_neftune_10</w:t>
      </w:r>
      <w:r>
        <w:rPr>
          <w:rFonts w:hint="eastAsia" w:ascii="宋体" w:hAnsi="宋体" w:eastAsia="宋体" w:cs="宋体"/>
          <w:b w:val="0"/>
          <w:bCs/>
          <w:sz w:val="24"/>
          <w:szCs w:val="24"/>
        </w:rPr>
        <w:t xml:space="preserve"> 的训练时间最高且 eval_loss 最高。因此，从泛化效果、训练稳定性和计算成本三个角度综合判断，</w:t>
      </w:r>
      <w:r>
        <w:rPr>
          <w:rStyle w:val="14"/>
          <w:rFonts w:hint="eastAsia" w:ascii="宋体" w:hAnsi="宋体" w:eastAsia="宋体" w:cs="宋体"/>
          <w:b w:val="0"/>
          <w:bCs/>
          <w:sz w:val="24"/>
          <w:szCs w:val="24"/>
        </w:rPr>
        <w:t xml:space="preserve">当前实验中不采用 NEFTune 更合适，最终仍应保留 </w:t>
      </w:r>
      <w:r>
        <w:rPr>
          <w:rStyle w:val="15"/>
          <w:rFonts w:hint="eastAsia" w:ascii="宋体" w:hAnsi="宋体" w:eastAsia="宋体" w:cs="宋体"/>
          <w:b w:val="0"/>
          <w:bCs/>
          <w:sz w:val="24"/>
          <w:szCs w:val="24"/>
        </w:rPr>
        <w:t>stage2_base</w:t>
      </w:r>
      <w:r>
        <w:rPr>
          <w:rStyle w:val="14"/>
          <w:rFonts w:hint="eastAsia" w:ascii="宋体" w:hAnsi="宋体" w:eastAsia="宋体" w:cs="宋体"/>
          <w:b w:val="0"/>
          <w:bCs/>
          <w:sz w:val="24"/>
          <w:szCs w:val="24"/>
        </w:rPr>
        <w:t xml:space="preserve"> 作为 Stage 2 的最佳配置。</w:t>
      </w:r>
    </w:p>
    <w:p w14:paraId="7515B6DC">
      <w:pPr>
        <w:pStyle w:val="10"/>
        <w:keepNext w:val="0"/>
        <w:keepLines w:val="0"/>
        <w:widowControl/>
        <w:suppressLineNumbers w:val="0"/>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sz w:val="24"/>
          <w:szCs w:val="24"/>
        </w:rPr>
        <w:t xml:space="preserve">综上所述，本研究在 GPTQ 量化后的 LLaMA3-8B 模型基础上，采用 LoRA 微调框架，并进一步通过 BOHB-style 候选搜索对 LoRA 参数与优化过程参数进行了系统调优。Stage 1 的实验结果表明，12 组候选配置整体未出现典型过拟合现象，其中 </w:t>
      </w:r>
      <w:r>
        <w:rPr>
          <w:rStyle w:val="15"/>
          <w:rFonts w:hint="eastAsia" w:ascii="宋体" w:hAnsi="宋体" w:eastAsia="宋体" w:cs="宋体"/>
          <w:sz w:val="24"/>
          <w:szCs w:val="24"/>
        </w:rPr>
        <w:t>bohb_03</w:t>
      </w:r>
      <w:r>
        <w:rPr>
          <w:rFonts w:hint="eastAsia" w:ascii="宋体" w:hAnsi="宋体" w:eastAsia="宋体" w:cs="宋体"/>
          <w:sz w:val="24"/>
          <w:szCs w:val="24"/>
        </w:rPr>
        <w:t xml:space="preserve"> 在验证集上取得最低 </w:t>
      </w:r>
      <w:r>
        <w:rPr>
          <w:rStyle w:val="15"/>
          <w:rFonts w:hint="eastAsia" w:ascii="宋体" w:hAnsi="宋体" w:eastAsia="宋体" w:cs="宋体"/>
          <w:sz w:val="24"/>
          <w:szCs w:val="24"/>
        </w:rPr>
        <w:t>eval_loss</w:t>
      </w:r>
      <w:r>
        <w:rPr>
          <w:rFonts w:hint="eastAsia" w:ascii="宋体" w:hAnsi="宋体" w:eastAsia="宋体" w:cs="宋体"/>
          <w:sz w:val="24"/>
          <w:szCs w:val="24"/>
        </w:rPr>
        <w:t xml:space="preserve">，且其 generalization gap 未表现出异常波动，因此被选为后续 Stage 2 的基础配置。随后，本研究在固定 </w:t>
      </w:r>
      <w:r>
        <w:rPr>
          <w:rStyle w:val="15"/>
          <w:rFonts w:hint="eastAsia" w:ascii="宋体" w:hAnsi="宋体" w:eastAsia="宋体" w:cs="宋体"/>
          <w:sz w:val="24"/>
          <w:szCs w:val="24"/>
        </w:rPr>
        <w:t>bohb_03</w:t>
      </w:r>
      <w:r>
        <w:rPr>
          <w:rFonts w:hint="eastAsia" w:ascii="宋体" w:hAnsi="宋体" w:eastAsia="宋体" w:cs="宋体"/>
          <w:sz w:val="24"/>
          <w:szCs w:val="24"/>
        </w:rPr>
        <w:t xml:space="preserve"> 的 LoRA 与优化参数的前提下，引入 NEFTune 作为训练阶段的正则化增强方法，并比较不同噪声强度下的模型表现。结果显示，随着 </w:t>
      </w:r>
      <w:r>
        <w:rPr>
          <w:rStyle w:val="15"/>
          <w:rFonts w:hint="eastAsia" w:ascii="宋体" w:hAnsi="宋体" w:eastAsia="宋体" w:cs="宋体"/>
          <w:sz w:val="24"/>
          <w:szCs w:val="24"/>
        </w:rPr>
        <w:t>neftune_noise_alpha</w:t>
      </w:r>
      <w:r>
        <w:rPr>
          <w:rFonts w:hint="eastAsia" w:ascii="宋体" w:hAnsi="宋体" w:eastAsia="宋体" w:cs="宋体"/>
          <w:sz w:val="24"/>
          <w:szCs w:val="24"/>
        </w:rPr>
        <w:t xml:space="preserve"> 从 0 增加到 5 和 10，模型的 </w:t>
      </w:r>
      <w:r>
        <w:rPr>
          <w:rStyle w:val="15"/>
          <w:rFonts w:hint="eastAsia" w:ascii="宋体" w:hAnsi="宋体" w:eastAsia="宋体" w:cs="宋体"/>
          <w:sz w:val="24"/>
          <w:szCs w:val="24"/>
        </w:rPr>
        <w:t>eval_loss</w:t>
      </w:r>
      <w:r>
        <w:rPr>
          <w:rFonts w:hint="eastAsia" w:ascii="宋体" w:hAnsi="宋体" w:eastAsia="宋体" w:cs="宋体"/>
          <w:sz w:val="24"/>
          <w:szCs w:val="24"/>
        </w:rPr>
        <w:t>、</w:t>
      </w:r>
      <w:r>
        <w:rPr>
          <w:rStyle w:val="15"/>
          <w:rFonts w:hint="eastAsia" w:ascii="宋体" w:hAnsi="宋体" w:eastAsia="宋体" w:cs="宋体"/>
          <w:sz w:val="24"/>
          <w:szCs w:val="24"/>
        </w:rPr>
        <w:t>train_loss</w:t>
      </w:r>
      <w:r>
        <w:rPr>
          <w:rFonts w:hint="eastAsia" w:ascii="宋体" w:hAnsi="宋体" w:eastAsia="宋体" w:cs="宋体"/>
          <w:sz w:val="24"/>
          <w:szCs w:val="24"/>
        </w:rPr>
        <w:t xml:space="preserve"> 以及训练时间均呈上升趋势，说明在当前 GPTQ + LoRA 微调设置下，NEFTune 并未进一步提升模型泛化能力，较强的 embedding 噪声反而可能增加训练难度并削弱验证集表现。因此，综合验证损失、训练稳定性与计算成本，本研究最终保留 </w:t>
      </w:r>
      <w:r>
        <w:rPr>
          <w:rStyle w:val="15"/>
          <w:rFonts w:hint="eastAsia" w:ascii="宋体" w:hAnsi="宋体" w:eastAsia="宋体" w:cs="宋体"/>
          <w:sz w:val="24"/>
          <w:szCs w:val="24"/>
        </w:rPr>
        <w:t>stage2_base</w:t>
      </w:r>
      <w:r>
        <w:rPr>
          <w:rFonts w:hint="eastAsia" w:ascii="宋体" w:hAnsi="宋体" w:eastAsia="宋体" w:cs="宋体"/>
          <w:sz w:val="24"/>
          <w:szCs w:val="24"/>
        </w:rPr>
        <w:t xml:space="preserve"> 作为更优配置</w:t>
      </w:r>
      <w:r>
        <w:rPr>
          <w:rFonts w:hint="eastAsia" w:ascii="宋体" w:hAnsi="宋体" w:eastAsia="宋体" w:cs="宋体"/>
          <w:sz w:val="24"/>
          <w:szCs w:val="24"/>
          <w:lang w:eastAsia="zh-CN"/>
        </w:rPr>
        <w:t>。</w:t>
      </w:r>
    </w:p>
    <w:p w14:paraId="24819F8C">
      <w:pPr>
        <w:pStyle w:val="2"/>
        <w:bidi w:val="0"/>
        <w:rPr>
          <w:rFonts w:hint="eastAsia"/>
          <w:lang w:val="en-US" w:eastAsia="zh-CN"/>
        </w:rPr>
      </w:pPr>
      <w:bookmarkStart w:id="58" w:name="_Toc6850"/>
      <w:bookmarkStart w:id="59" w:name="_Toc3302"/>
      <w:r>
        <w:rPr>
          <w:rFonts w:hint="eastAsia"/>
          <w:lang w:val="en-US" w:eastAsia="zh-CN"/>
        </w:rPr>
        <w:t>（五）比较与消融实验</w:t>
      </w:r>
      <w:bookmarkEnd w:id="58"/>
      <w:bookmarkEnd w:id="59"/>
    </w:p>
    <w:p w14:paraId="33306E41">
      <w:pPr>
        <w:pStyle w:val="20"/>
        <w:ind w:firstLine="420" w:firstLineChars="0"/>
        <w:rPr>
          <w:rFonts w:hint="eastAsia" w:ascii="宋体" w:hAnsi="宋体" w:eastAsia="宋体" w:cs="宋体"/>
          <w:sz w:val="24"/>
          <w:szCs w:val="32"/>
        </w:rPr>
      </w:pPr>
      <w:r>
        <w:rPr>
          <w:rFonts w:hint="eastAsia" w:ascii="宋体" w:hAnsi="宋体" w:eastAsia="宋体" w:cs="宋体"/>
          <w:b w:val="0"/>
          <w:bCs w:val="0"/>
          <w:sz w:val="24"/>
          <w:szCs w:val="32"/>
        </w:rPr>
        <w:t>Taguchi 正交设计是一种基于正交表的实验设计方法，能够在多个因素、多种水平同时存在时，用少量代表性实验替代完整全因子实验。其核心思想是使各因素水平在实验组合中均衡出现，从而以较低计算成本分析不同因素对结果的主要影响。相</w:t>
      </w:r>
      <w:r>
        <w:rPr>
          <w:rFonts w:hint="eastAsia" w:ascii="宋体" w:hAnsi="宋体" w:eastAsia="宋体" w:cs="宋体"/>
          <w:sz w:val="24"/>
          <w:szCs w:val="32"/>
        </w:rPr>
        <w:t>比普通正交设计，Taguchi 方法进一步强调实验结果的稳定性和鲁棒性。</w:t>
      </w:r>
    </w:p>
    <w:p w14:paraId="394C75A1">
      <w:pPr>
        <w:pStyle w:val="6"/>
        <w:ind w:firstLine="420" w:firstLineChars="0"/>
        <w:rPr>
          <w:rFonts w:hint="eastAsia" w:ascii="宋体" w:hAnsi="宋体" w:eastAsia="宋体" w:cs="宋体"/>
          <w:sz w:val="24"/>
          <w:szCs w:val="32"/>
        </w:rPr>
      </w:pPr>
      <w:r>
        <w:rPr>
          <w:rFonts w:hint="eastAsia" w:ascii="宋体" w:hAnsi="宋体" w:eastAsia="宋体" w:cs="宋体"/>
          <w:sz w:val="24"/>
          <w:szCs w:val="32"/>
        </w:rPr>
        <w:t>若评价指标为损失值，且目标是“越小越好”，可使用小望目信噪比：</w:t>
      </w:r>
    </w:p>
    <w:p w14:paraId="325418DC">
      <w:pPr>
        <w:pStyle w:val="6"/>
        <w:rPr>
          <w:rFonts w:hint="eastAsia" w:ascii="宋体" w:hAnsi="宋体" w:eastAsia="宋体" w:cs="宋体"/>
          <w:sz w:val="24"/>
          <w:szCs w:val="32"/>
        </w:rPr>
      </w:pPr>
      <m:oMathPara>
        <m:oMathParaPr>
          <m:jc m:val="center"/>
        </m:oMathParaPr>
        <m:oMath>
          <m:r>
            <m:rPr/>
            <w:rPr>
              <w:rFonts w:hint="eastAsia" w:ascii="Cambria Math" w:hAnsi="Cambria Math" w:eastAsia="宋体" w:cs="宋体"/>
              <w:sz w:val="28"/>
              <w:szCs w:val="36"/>
            </w:rPr>
            <m:t>S</m:t>
          </m:r>
          <m:r>
            <m:rPr>
              <m:sty m:val="p"/>
            </m:rPr>
            <w:rPr>
              <w:rFonts w:hint="eastAsia" w:ascii="Cambria Math" w:hAnsi="Cambria Math" w:eastAsia="宋体" w:cs="宋体"/>
              <w:sz w:val="28"/>
              <w:szCs w:val="36"/>
            </w:rPr>
            <m:t>/</m:t>
          </m:r>
          <m:r>
            <m:rPr/>
            <w:rPr>
              <w:rFonts w:hint="eastAsia" w:ascii="Cambria Math" w:hAnsi="Cambria Math" w:eastAsia="宋体" w:cs="宋体"/>
              <w:sz w:val="28"/>
              <w:szCs w:val="36"/>
            </w:rPr>
            <m:t>N</m:t>
          </m:r>
          <m:r>
            <m:rPr>
              <m:sty m:val="p"/>
            </m:rPr>
            <w:rPr>
              <w:rFonts w:hint="eastAsia" w:ascii="Cambria Math" w:hAnsi="Cambria Math" w:eastAsia="宋体" w:cs="宋体"/>
              <w:sz w:val="28"/>
              <w:szCs w:val="36"/>
            </w:rPr>
            <m:t>=−</m:t>
          </m:r>
          <m:r>
            <m:rPr/>
            <w:rPr>
              <w:rFonts w:hint="eastAsia" w:ascii="Cambria Math" w:hAnsi="Cambria Math" w:eastAsia="宋体" w:cs="宋体"/>
              <w:sz w:val="28"/>
              <w:szCs w:val="36"/>
            </w:rPr>
            <m:t>10</m:t>
          </m:r>
          <m:sSub>
            <m:sSubPr>
              <m:ctrlPr>
                <w:rPr>
                  <w:rFonts w:hint="eastAsia" w:ascii="Cambria Math" w:hAnsi="Cambria Math" w:eastAsia="宋体" w:cs="宋体"/>
                  <w:sz w:val="28"/>
                  <w:szCs w:val="36"/>
                </w:rPr>
              </m:ctrlPr>
            </m:sSubPr>
            <m:e>
              <m:r>
                <m:rPr>
                  <m:sty m:val="p"/>
                </m:rPr>
                <w:rPr>
                  <w:rFonts w:hint="eastAsia" w:ascii="Cambria Math" w:hAnsi="Cambria Math" w:eastAsia="宋体" w:cs="宋体"/>
                  <w:sz w:val="28"/>
                  <w:szCs w:val="36"/>
                </w:rPr>
                <m:t>log</m:t>
              </m:r>
              <m:ctrlPr>
                <w:rPr>
                  <w:rFonts w:hint="eastAsia" w:ascii="Cambria Math" w:hAnsi="Cambria Math" w:eastAsia="宋体" w:cs="宋体"/>
                  <w:sz w:val="28"/>
                  <w:szCs w:val="36"/>
                </w:rPr>
              </m:ctrlPr>
            </m:e>
            <m:sub>
              <m:r>
                <m:rPr/>
                <w:rPr>
                  <w:rFonts w:hint="eastAsia" w:ascii="Cambria Math" w:hAnsi="Cambria Math" w:eastAsia="宋体" w:cs="宋体"/>
                  <w:sz w:val="28"/>
                  <w:szCs w:val="36"/>
                </w:rPr>
                <m:t>10</m:t>
              </m:r>
              <m:ctrlPr>
                <w:rPr>
                  <w:rFonts w:hint="eastAsia" w:ascii="Cambria Math" w:hAnsi="Cambria Math" w:eastAsia="宋体" w:cs="宋体"/>
                  <w:sz w:val="28"/>
                  <w:szCs w:val="36"/>
                </w:rPr>
              </m:ctrlPr>
            </m:sub>
          </m:sSub>
          <m:d>
            <m:dPr>
              <m:sepChr m:val=""/>
              <m:ctrlPr>
                <w:rPr>
                  <w:rFonts w:hint="eastAsia" w:ascii="Cambria Math" w:hAnsi="Cambria Math" w:eastAsia="宋体" w:cs="宋体"/>
                  <w:sz w:val="28"/>
                  <w:szCs w:val="36"/>
                </w:rPr>
              </m:ctrlPr>
            </m:dPr>
            <m:e>
              <m:f>
                <m:fPr>
                  <m:ctrlPr>
                    <w:rPr>
                      <w:rFonts w:hint="eastAsia" w:ascii="Cambria Math" w:hAnsi="Cambria Math" w:eastAsia="宋体" w:cs="宋体"/>
                      <w:sz w:val="28"/>
                      <w:szCs w:val="36"/>
                    </w:rPr>
                  </m:ctrlPr>
                </m:fPr>
                <m:num>
                  <m:r>
                    <m:rPr/>
                    <w:rPr>
                      <w:rFonts w:hint="eastAsia" w:ascii="Cambria Math" w:hAnsi="Cambria Math" w:eastAsia="宋体" w:cs="宋体"/>
                      <w:sz w:val="28"/>
                      <w:szCs w:val="36"/>
                    </w:rPr>
                    <m:t>1</m:t>
                  </m:r>
                  <m:ctrlPr>
                    <w:rPr>
                      <w:rFonts w:hint="eastAsia" w:ascii="Cambria Math" w:hAnsi="Cambria Math" w:eastAsia="宋体" w:cs="宋体"/>
                      <w:sz w:val="28"/>
                      <w:szCs w:val="36"/>
                    </w:rPr>
                  </m:ctrlPr>
                </m:num>
                <m:den>
                  <m:r>
                    <m:rPr/>
                    <w:rPr>
                      <w:rFonts w:hint="eastAsia" w:ascii="Cambria Math" w:hAnsi="Cambria Math" w:eastAsia="宋体" w:cs="宋体"/>
                      <w:sz w:val="28"/>
                      <w:szCs w:val="36"/>
                    </w:rPr>
                    <m:t>n</m:t>
                  </m:r>
                  <m:ctrlPr>
                    <w:rPr>
                      <w:rFonts w:hint="eastAsia" w:ascii="Cambria Math" w:hAnsi="Cambria Math" w:eastAsia="宋体" w:cs="宋体"/>
                      <w:sz w:val="28"/>
                      <w:szCs w:val="36"/>
                    </w:rPr>
                  </m:ctrlPr>
                </m:den>
              </m:f>
              <m:nary>
                <m:naryPr>
                  <m:chr m:val="∑"/>
                  <m:limLoc m:val="undOvr"/>
                  <m:ctrlPr>
                    <w:rPr>
                      <w:rFonts w:hint="eastAsia" w:ascii="Cambria Math" w:hAnsi="Cambria Math" w:eastAsia="宋体" w:cs="宋体"/>
                      <w:sz w:val="28"/>
                      <w:szCs w:val="36"/>
                    </w:rPr>
                  </m:ctrlPr>
                </m:naryPr>
                <m:sub>
                  <m:r>
                    <m:rPr/>
                    <w:rPr>
                      <w:rFonts w:hint="eastAsia" w:ascii="Cambria Math" w:hAnsi="Cambria Math" w:eastAsia="宋体" w:cs="宋体"/>
                      <w:sz w:val="28"/>
                      <w:szCs w:val="36"/>
                    </w:rPr>
                    <m:t>i</m:t>
                  </m:r>
                  <m:r>
                    <m:rPr>
                      <m:sty m:val="p"/>
                    </m:rPr>
                    <w:rPr>
                      <w:rFonts w:hint="eastAsia" w:ascii="Cambria Math" w:hAnsi="Cambria Math" w:eastAsia="宋体" w:cs="宋体"/>
                      <w:sz w:val="28"/>
                      <w:szCs w:val="36"/>
                    </w:rPr>
                    <m:t>=</m:t>
                  </m:r>
                  <m:r>
                    <m:rPr/>
                    <w:rPr>
                      <w:rFonts w:hint="eastAsia" w:ascii="Cambria Math" w:hAnsi="Cambria Math" w:eastAsia="宋体" w:cs="宋体"/>
                      <w:sz w:val="28"/>
                      <w:szCs w:val="36"/>
                    </w:rPr>
                    <m:t>1</m:t>
                  </m:r>
                  <m:ctrlPr>
                    <w:rPr>
                      <w:rFonts w:hint="eastAsia" w:ascii="Cambria Math" w:hAnsi="Cambria Math" w:eastAsia="宋体" w:cs="宋体"/>
                      <w:sz w:val="28"/>
                      <w:szCs w:val="36"/>
                    </w:rPr>
                  </m:ctrlPr>
                </m:sub>
                <m:sup>
                  <m:r>
                    <m:rPr/>
                    <w:rPr>
                      <w:rFonts w:hint="eastAsia" w:ascii="Cambria Math" w:hAnsi="Cambria Math" w:eastAsia="宋体" w:cs="宋体"/>
                      <w:sz w:val="28"/>
                      <w:szCs w:val="36"/>
                    </w:rPr>
                    <m:t>n</m:t>
                  </m:r>
                  <m:ctrlPr>
                    <w:rPr>
                      <w:rFonts w:hint="eastAsia" w:ascii="Cambria Math" w:hAnsi="Cambria Math" w:eastAsia="宋体" w:cs="宋体"/>
                      <w:sz w:val="28"/>
                      <w:szCs w:val="36"/>
                    </w:rPr>
                  </m:ctrlPr>
                </m:sup>
                <m:e>
                  <m:sSubSup>
                    <m:sSubSupPr>
                      <m:ctrlPr>
                        <w:rPr>
                          <w:rFonts w:hint="eastAsia" w:ascii="Cambria Math" w:hAnsi="Cambria Math" w:eastAsia="宋体" w:cs="宋体"/>
                          <w:sz w:val="28"/>
                          <w:szCs w:val="36"/>
                        </w:rPr>
                      </m:ctrlPr>
                    </m:sSubSupPr>
                    <m:e>
                      <m:r>
                        <m:rPr/>
                        <w:rPr>
                          <w:rFonts w:hint="eastAsia" w:ascii="Cambria Math" w:hAnsi="Cambria Math" w:eastAsia="宋体" w:cs="宋体"/>
                          <w:sz w:val="28"/>
                          <w:szCs w:val="36"/>
                        </w:rPr>
                        <m:t>y</m:t>
                      </m:r>
                      <m:ctrlPr>
                        <w:rPr>
                          <w:rFonts w:hint="eastAsia" w:ascii="Cambria Math" w:hAnsi="Cambria Math" w:eastAsia="宋体" w:cs="宋体"/>
                          <w:sz w:val="28"/>
                          <w:szCs w:val="36"/>
                        </w:rPr>
                      </m:ctrlPr>
                    </m:e>
                    <m:sub>
                      <m:r>
                        <m:rPr/>
                        <w:rPr>
                          <w:rFonts w:hint="eastAsia" w:ascii="Cambria Math" w:hAnsi="Cambria Math" w:eastAsia="宋体" w:cs="宋体"/>
                          <w:sz w:val="28"/>
                          <w:szCs w:val="36"/>
                        </w:rPr>
                        <m:t>i</m:t>
                      </m:r>
                      <m:ctrlPr>
                        <w:rPr>
                          <w:rFonts w:hint="eastAsia" w:ascii="Cambria Math" w:hAnsi="Cambria Math" w:eastAsia="宋体" w:cs="宋体"/>
                          <w:sz w:val="28"/>
                          <w:szCs w:val="36"/>
                        </w:rPr>
                      </m:ctrlPr>
                    </m:sub>
                    <m:sup>
                      <m:r>
                        <m:rPr/>
                        <w:rPr>
                          <w:rFonts w:hint="eastAsia" w:ascii="Cambria Math" w:hAnsi="Cambria Math" w:eastAsia="宋体" w:cs="宋体"/>
                          <w:sz w:val="28"/>
                          <w:szCs w:val="36"/>
                        </w:rPr>
                        <m:t>2</m:t>
                      </m:r>
                      <m:ctrlPr>
                        <w:rPr>
                          <w:rFonts w:hint="eastAsia" w:ascii="Cambria Math" w:hAnsi="Cambria Math" w:eastAsia="宋体" w:cs="宋体"/>
                          <w:sz w:val="28"/>
                          <w:szCs w:val="36"/>
                        </w:rPr>
                      </m:ctrlPr>
                    </m:sup>
                  </m:sSubSup>
                  <m:ctrlPr>
                    <w:rPr>
                      <w:rFonts w:hint="eastAsia" w:ascii="Cambria Math" w:hAnsi="Cambria Math" w:eastAsia="宋体" w:cs="宋体"/>
                      <w:sz w:val="28"/>
                      <w:szCs w:val="36"/>
                    </w:rPr>
                  </m:ctrlPr>
                </m:e>
              </m:nary>
              <m:ctrlPr>
                <w:rPr>
                  <w:rFonts w:hint="eastAsia" w:ascii="Cambria Math" w:hAnsi="Cambria Math" w:eastAsia="宋体" w:cs="宋体"/>
                  <w:sz w:val="28"/>
                  <w:szCs w:val="36"/>
                </w:rPr>
              </m:ctrlPr>
            </m:e>
          </m:d>
        </m:oMath>
      </m:oMathPara>
    </w:p>
    <w:p w14:paraId="3E857C30">
      <w:pPr>
        <w:pStyle w:val="20"/>
        <w:rPr>
          <w:rFonts w:ascii="宋体" w:hAnsi="宋体" w:eastAsia="宋体" w:cs="宋体"/>
          <w:sz w:val="24"/>
          <w:szCs w:val="24"/>
        </w:rPr>
      </w:pPr>
      <w:r>
        <w:rPr>
          <w:rFonts w:hint="eastAsia" w:ascii="宋体" w:hAnsi="宋体" w:eastAsia="宋体" w:cs="宋体"/>
          <w:sz w:val="24"/>
          <w:szCs w:val="32"/>
        </w:rPr>
        <w:t>其中，</w:t>
      </w:r>
      <m:oMath>
        <m:sSub>
          <m:sSubPr>
            <m:ctrlPr>
              <w:rPr>
                <w:rFonts w:hint="eastAsia" w:ascii="Cambria Math" w:hAnsi="Cambria Math" w:eastAsia="宋体" w:cs="宋体"/>
                <w:sz w:val="24"/>
                <w:szCs w:val="32"/>
              </w:rPr>
            </m:ctrlPr>
          </m:sSubPr>
          <m:e>
            <m:r>
              <m:rPr/>
              <w:rPr>
                <w:rFonts w:hint="eastAsia" w:ascii="Cambria Math" w:hAnsi="Cambria Math" w:eastAsia="宋体" w:cs="宋体"/>
                <w:sz w:val="24"/>
                <w:szCs w:val="32"/>
              </w:rPr>
              <m:t>y</m:t>
            </m:r>
            <m:ctrlPr>
              <w:rPr>
                <w:rFonts w:hint="eastAsia" w:ascii="Cambria Math" w:hAnsi="Cambria Math" w:eastAsia="宋体" w:cs="宋体"/>
                <w:sz w:val="24"/>
                <w:szCs w:val="32"/>
              </w:rPr>
            </m:ctrlPr>
          </m:e>
          <m:sub>
            <m:r>
              <m:rPr/>
              <w:rPr>
                <w:rFonts w:hint="eastAsia" w:ascii="Cambria Math" w:hAnsi="Cambria Math" w:eastAsia="宋体" w:cs="宋体"/>
                <w:sz w:val="24"/>
                <w:szCs w:val="32"/>
              </w:rPr>
              <m:t>i</m:t>
            </m:r>
            <m:ctrlPr>
              <w:rPr>
                <w:rFonts w:hint="eastAsia" w:ascii="Cambria Math" w:hAnsi="Cambria Math" w:eastAsia="宋体" w:cs="宋体"/>
                <w:sz w:val="24"/>
                <w:szCs w:val="32"/>
              </w:rPr>
            </m:ctrlPr>
          </m:sub>
        </m:sSub>
      </m:oMath>
      <w:r>
        <w:rPr>
          <w:rFonts w:hint="eastAsia" w:ascii="宋体" w:hAnsi="宋体" w:eastAsia="宋体" w:cs="宋体"/>
          <w:sz w:val="24"/>
          <w:szCs w:val="32"/>
        </w:rPr>
        <w:t xml:space="preserve"> 表示第 </w:t>
      </w:r>
      <m:oMath>
        <m:r>
          <m:rPr/>
          <w:rPr>
            <w:rFonts w:hint="eastAsia" w:ascii="Cambria Math" w:hAnsi="Cambria Math" w:eastAsia="宋体" w:cs="宋体"/>
            <w:sz w:val="24"/>
            <w:szCs w:val="32"/>
          </w:rPr>
          <m:t>i</m:t>
        </m:r>
      </m:oMath>
      <w:r>
        <w:rPr>
          <w:rFonts w:hint="eastAsia" w:ascii="宋体" w:hAnsi="宋体" w:eastAsia="宋体" w:cs="宋体"/>
          <w:sz w:val="24"/>
          <w:szCs w:val="32"/>
        </w:rPr>
        <w:t xml:space="preserve"> 次实验的损失值，</w:t>
      </w:r>
      <m:oMath>
        <m:r>
          <m:rPr/>
          <w:rPr>
            <w:rFonts w:hint="eastAsia" w:ascii="Cambria Math" w:hAnsi="Cambria Math" w:eastAsia="宋体" w:cs="宋体"/>
            <w:sz w:val="24"/>
            <w:szCs w:val="32"/>
          </w:rPr>
          <m:t>n</m:t>
        </m:r>
      </m:oMath>
      <w:r>
        <w:rPr>
          <w:rFonts w:hint="eastAsia" w:ascii="宋体" w:hAnsi="宋体" w:eastAsia="宋体" w:cs="宋体"/>
          <w:sz w:val="24"/>
          <w:szCs w:val="32"/>
        </w:rPr>
        <w:t xml:space="preserve"> 表示实验或评价次数。</w:t>
      </w:r>
      <m:oMath>
        <m:r>
          <m:rPr/>
          <w:rPr>
            <w:rFonts w:hint="eastAsia" w:ascii="Cambria Math" w:hAnsi="Cambria Math" w:eastAsia="宋体" w:cs="宋体"/>
            <w:sz w:val="24"/>
            <w:szCs w:val="32"/>
          </w:rPr>
          <m:t>S</m:t>
        </m:r>
        <m:r>
          <m:rPr>
            <m:sty m:val="p"/>
          </m:rPr>
          <w:rPr>
            <w:rFonts w:hint="eastAsia" w:ascii="Cambria Math" w:hAnsi="Cambria Math" w:eastAsia="宋体" w:cs="宋体"/>
            <w:sz w:val="24"/>
            <w:szCs w:val="32"/>
          </w:rPr>
          <m:t>/</m:t>
        </m:r>
        <m:r>
          <m:rPr/>
          <w:rPr>
            <w:rFonts w:hint="eastAsia" w:ascii="Cambria Math" w:hAnsi="Cambria Math" w:eastAsia="宋体" w:cs="宋体"/>
            <w:sz w:val="24"/>
            <w:szCs w:val="32"/>
          </w:rPr>
          <m:t>N</m:t>
        </m:r>
      </m:oMath>
      <w:r>
        <w:rPr>
          <w:rFonts w:hint="eastAsia" w:ascii="宋体" w:hAnsi="宋体" w:eastAsia="宋体" w:cs="宋体"/>
          <w:sz w:val="24"/>
          <w:szCs w:val="32"/>
        </w:rPr>
        <w:t xml:space="preserve"> 越大，说明该配置的损失越小且表现越稳定。</w:t>
      </w:r>
    </w:p>
    <w:p w14:paraId="1F182F44">
      <w:pPr>
        <w:pStyle w:val="10"/>
        <w:keepNext w:val="0"/>
        <w:keepLines w:val="0"/>
        <w:widowControl/>
        <w:suppressLineNumbers w:val="0"/>
        <w:ind w:firstLine="420" w:firstLineChars="0"/>
        <w:rPr>
          <w:rFonts w:ascii="宋体" w:hAnsi="宋体" w:eastAsia="宋体" w:cs="宋体"/>
          <w:sz w:val="24"/>
          <w:szCs w:val="24"/>
        </w:rPr>
      </w:pPr>
      <w:r>
        <w:rPr>
          <w:rFonts w:ascii="宋体" w:hAnsi="宋体" w:eastAsia="宋体" w:cs="宋体"/>
          <w:sz w:val="24"/>
          <w:szCs w:val="24"/>
        </w:rPr>
        <w:t>本研究采用 Taguchi 正交设计思想构建 L9 实验矩阵，但考虑到计算资源限制，当前主要完成其中与 LLaMA3-8B 主线相关的代表性实验，并结合已有 BOHB、NEFTune 和数据规模实验进行主效应分析。</w:t>
      </w:r>
    </w:p>
    <w:p w14:paraId="7FF9DEE1">
      <w:pPr>
        <w:widowControl/>
        <w:spacing w:after="200" w:line="276" w:lineRule="auto"/>
        <w:jc w:val="center"/>
        <w:rPr>
          <w:rFonts w:ascii="Times New Roman" w:hAnsi="Times New Roman" w:eastAsia="宋体" w:cs="Times New Roman"/>
          <w:kern w:val="0"/>
          <w:sz w:val="19"/>
          <w:szCs w:val="22"/>
          <w:lang w:eastAsia="en-US"/>
        </w:rPr>
      </w:pPr>
      <w:r>
        <w:rPr>
          <w:rFonts w:ascii="Times New Roman" w:hAnsi="Times New Roman" w:eastAsia="黑体" w:cs="Times New Roman"/>
          <w:b/>
          <w:kern w:val="0"/>
          <w:sz w:val="22"/>
          <w:szCs w:val="22"/>
          <w:lang w:eastAsia="en-US"/>
        </w:rPr>
        <w:t>表 1 Taguchi L9 实验结果汇总</w:t>
      </w:r>
    </w:p>
    <w:tbl>
      <w:tblPr>
        <w:tblStyle w:val="1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fixed"/>
        <w:tblCellMar>
          <w:top w:w="0" w:type="dxa"/>
          <w:left w:w="108" w:type="dxa"/>
          <w:bottom w:w="0" w:type="dxa"/>
          <w:right w:w="108" w:type="dxa"/>
        </w:tblCellMar>
      </w:tblPr>
      <w:tblGrid>
        <w:gridCol w:w="396"/>
        <w:gridCol w:w="511"/>
        <w:gridCol w:w="570"/>
        <w:gridCol w:w="1449"/>
        <w:gridCol w:w="771"/>
        <w:gridCol w:w="963"/>
        <w:gridCol w:w="893"/>
        <w:gridCol w:w="1668"/>
        <w:gridCol w:w="1301"/>
      </w:tblGrid>
      <w:tr w14:paraId="458A3F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shd w:val="clear" w:color="auto" w:fill="D9EAF7"/>
            <w:vAlign w:val="center"/>
          </w:tcPr>
          <w:p w14:paraId="14BAD0B0">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实验编号</w:t>
            </w:r>
          </w:p>
        </w:tc>
        <w:tc>
          <w:tcPr>
            <w:tcW w:w="511" w:type="dxa"/>
            <w:shd w:val="clear" w:color="auto" w:fill="D9EAF7"/>
            <w:vAlign w:val="center"/>
          </w:tcPr>
          <w:p w14:paraId="7DD46193">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数据规模</w:t>
            </w:r>
          </w:p>
        </w:tc>
        <w:tc>
          <w:tcPr>
            <w:tcW w:w="570" w:type="dxa"/>
            <w:shd w:val="clear" w:color="auto" w:fill="D9EAF7"/>
            <w:vAlign w:val="center"/>
          </w:tcPr>
          <w:p w14:paraId="5CE8766C">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样本数</w:t>
            </w:r>
          </w:p>
        </w:tc>
        <w:tc>
          <w:tcPr>
            <w:tcW w:w="1449" w:type="dxa"/>
            <w:shd w:val="clear" w:color="auto" w:fill="D9EAF7"/>
            <w:vAlign w:val="center"/>
          </w:tcPr>
          <w:p w14:paraId="0348450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调参策略</w:t>
            </w:r>
          </w:p>
        </w:tc>
        <w:tc>
          <w:tcPr>
            <w:tcW w:w="771" w:type="dxa"/>
            <w:shd w:val="clear" w:color="auto" w:fill="D9EAF7"/>
            <w:vAlign w:val="center"/>
          </w:tcPr>
          <w:p w14:paraId="72DBD41E">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训练资源</w:t>
            </w:r>
          </w:p>
        </w:tc>
        <w:tc>
          <w:tcPr>
            <w:tcW w:w="963" w:type="dxa"/>
            <w:shd w:val="clear" w:color="auto" w:fill="D9EAF7"/>
            <w:vAlign w:val="center"/>
          </w:tcPr>
          <w:p w14:paraId="673CEBA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train_loss</w:t>
            </w:r>
          </w:p>
        </w:tc>
        <w:tc>
          <w:tcPr>
            <w:tcW w:w="893" w:type="dxa"/>
            <w:shd w:val="clear" w:color="auto" w:fill="D9EAF7"/>
            <w:vAlign w:val="center"/>
          </w:tcPr>
          <w:p w14:paraId="7883CD3E">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eval_loss</w:t>
            </w:r>
          </w:p>
        </w:tc>
        <w:tc>
          <w:tcPr>
            <w:tcW w:w="1668" w:type="dxa"/>
            <w:shd w:val="clear" w:color="auto" w:fill="D9EAF7"/>
            <w:vAlign w:val="center"/>
          </w:tcPr>
          <w:p w14:paraId="1C465EC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generalization_gap</w:t>
            </w:r>
          </w:p>
        </w:tc>
        <w:tc>
          <w:tcPr>
            <w:tcW w:w="1301" w:type="dxa"/>
            <w:shd w:val="clear" w:color="auto" w:fill="D9EAF7"/>
            <w:vAlign w:val="center"/>
          </w:tcPr>
          <w:p w14:paraId="36455E3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kern w:val="0"/>
                <w:sz w:val="18"/>
                <w:szCs w:val="22"/>
                <w:lang w:eastAsia="en-US"/>
              </w:rPr>
              <w:t>train_runtime</w:t>
            </w:r>
          </w:p>
        </w:tc>
      </w:tr>
      <w:tr w14:paraId="413C88B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rHeight w:val="617" w:hRule="atLeast"/>
          <w:jc w:val="center"/>
        </w:trPr>
        <w:tc>
          <w:tcPr>
            <w:tcW w:w="396" w:type="dxa"/>
            <w:vAlign w:val="center"/>
          </w:tcPr>
          <w:p w14:paraId="505B110E">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1</w:t>
            </w:r>
          </w:p>
        </w:tc>
        <w:tc>
          <w:tcPr>
            <w:tcW w:w="511" w:type="dxa"/>
            <w:vAlign w:val="center"/>
          </w:tcPr>
          <w:p w14:paraId="7C8C9324">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30%</w:t>
            </w:r>
          </w:p>
        </w:tc>
        <w:tc>
          <w:tcPr>
            <w:tcW w:w="570" w:type="dxa"/>
            <w:vAlign w:val="center"/>
          </w:tcPr>
          <w:p w14:paraId="2DAEB95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243</w:t>
            </w:r>
          </w:p>
        </w:tc>
        <w:tc>
          <w:tcPr>
            <w:tcW w:w="1449" w:type="dxa"/>
            <w:vAlign w:val="center"/>
          </w:tcPr>
          <w:p w14:paraId="370DEF9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Baseline</w:t>
            </w:r>
          </w:p>
        </w:tc>
        <w:tc>
          <w:tcPr>
            <w:tcW w:w="771" w:type="dxa"/>
            <w:vAlign w:val="center"/>
          </w:tcPr>
          <w:p w14:paraId="35C1BB50">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short</w:t>
            </w:r>
          </w:p>
        </w:tc>
        <w:tc>
          <w:tcPr>
            <w:tcW w:w="963" w:type="dxa"/>
            <w:vAlign w:val="center"/>
          </w:tcPr>
          <w:p w14:paraId="28C2BBD4">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0.7843</w:t>
            </w:r>
          </w:p>
        </w:tc>
        <w:tc>
          <w:tcPr>
            <w:tcW w:w="893" w:type="dxa"/>
            <w:vAlign w:val="center"/>
          </w:tcPr>
          <w:p w14:paraId="117A95C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0.8959</w:t>
            </w:r>
          </w:p>
        </w:tc>
        <w:tc>
          <w:tcPr>
            <w:tcW w:w="1668" w:type="dxa"/>
            <w:vAlign w:val="center"/>
          </w:tcPr>
          <w:p w14:paraId="19C2DC1C">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0.1117</w:t>
            </w:r>
          </w:p>
        </w:tc>
        <w:tc>
          <w:tcPr>
            <w:tcW w:w="1301" w:type="dxa"/>
            <w:vAlign w:val="center"/>
          </w:tcPr>
          <w:p w14:paraId="76583F2C">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709.7374</w:t>
            </w:r>
          </w:p>
        </w:tc>
      </w:tr>
      <w:tr w14:paraId="632C583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0036AE8D">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2</w:t>
            </w:r>
          </w:p>
        </w:tc>
        <w:tc>
          <w:tcPr>
            <w:tcW w:w="511" w:type="dxa"/>
            <w:vAlign w:val="center"/>
          </w:tcPr>
          <w:p w14:paraId="0087B236">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30%</w:t>
            </w:r>
          </w:p>
        </w:tc>
        <w:tc>
          <w:tcPr>
            <w:tcW w:w="570" w:type="dxa"/>
            <w:vAlign w:val="center"/>
          </w:tcPr>
          <w:p w14:paraId="18520BB1">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243</w:t>
            </w:r>
          </w:p>
        </w:tc>
        <w:tc>
          <w:tcPr>
            <w:tcW w:w="1449" w:type="dxa"/>
            <w:vAlign w:val="center"/>
          </w:tcPr>
          <w:p w14:paraId="5713A4B7">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BOHB-best</w:t>
            </w:r>
          </w:p>
        </w:tc>
        <w:tc>
          <w:tcPr>
            <w:tcW w:w="771" w:type="dxa"/>
            <w:vAlign w:val="center"/>
          </w:tcPr>
          <w:p w14:paraId="39B7597C">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medium</w:t>
            </w:r>
          </w:p>
        </w:tc>
        <w:tc>
          <w:tcPr>
            <w:tcW w:w="963" w:type="dxa"/>
            <w:vAlign w:val="center"/>
          </w:tcPr>
          <w:p w14:paraId="5D2DA08E">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0.5690</w:t>
            </w:r>
          </w:p>
        </w:tc>
        <w:tc>
          <w:tcPr>
            <w:tcW w:w="893" w:type="dxa"/>
            <w:vAlign w:val="center"/>
          </w:tcPr>
          <w:p w14:paraId="0501CBCB">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1.0776</w:t>
            </w:r>
          </w:p>
        </w:tc>
        <w:tc>
          <w:tcPr>
            <w:tcW w:w="1668" w:type="dxa"/>
            <w:vAlign w:val="center"/>
          </w:tcPr>
          <w:p w14:paraId="0236AC76">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0.5086</w:t>
            </w:r>
          </w:p>
        </w:tc>
        <w:tc>
          <w:tcPr>
            <w:tcW w:w="1301" w:type="dxa"/>
            <w:vAlign w:val="center"/>
          </w:tcPr>
          <w:p w14:paraId="7BB62F24">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2176.4865</w:t>
            </w:r>
          </w:p>
        </w:tc>
      </w:tr>
      <w:tr w14:paraId="242F275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20980AE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3</w:t>
            </w:r>
          </w:p>
        </w:tc>
        <w:tc>
          <w:tcPr>
            <w:tcW w:w="511" w:type="dxa"/>
            <w:vAlign w:val="center"/>
          </w:tcPr>
          <w:p w14:paraId="7CB672F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30%</w:t>
            </w:r>
          </w:p>
        </w:tc>
        <w:tc>
          <w:tcPr>
            <w:tcW w:w="570" w:type="dxa"/>
            <w:vAlign w:val="center"/>
          </w:tcPr>
          <w:p w14:paraId="7CD9D51B">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243</w:t>
            </w:r>
          </w:p>
        </w:tc>
        <w:tc>
          <w:tcPr>
            <w:tcW w:w="1449" w:type="dxa"/>
            <w:vAlign w:val="center"/>
          </w:tcPr>
          <w:p w14:paraId="3FC6377E">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BOHB+NEFTune</w:t>
            </w:r>
          </w:p>
        </w:tc>
        <w:tc>
          <w:tcPr>
            <w:tcW w:w="771" w:type="dxa"/>
            <w:vAlign w:val="center"/>
          </w:tcPr>
          <w:p w14:paraId="2DD4489C">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full</w:t>
            </w:r>
          </w:p>
        </w:tc>
        <w:tc>
          <w:tcPr>
            <w:tcW w:w="963" w:type="dxa"/>
            <w:vAlign w:val="center"/>
          </w:tcPr>
          <w:p w14:paraId="182F96F5">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0.3718</w:t>
            </w:r>
          </w:p>
        </w:tc>
        <w:tc>
          <w:tcPr>
            <w:tcW w:w="893" w:type="dxa"/>
            <w:vAlign w:val="center"/>
          </w:tcPr>
          <w:p w14:paraId="0B47D33D">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1.5282</w:t>
            </w:r>
          </w:p>
        </w:tc>
        <w:tc>
          <w:tcPr>
            <w:tcW w:w="1668" w:type="dxa"/>
            <w:vAlign w:val="center"/>
          </w:tcPr>
          <w:p w14:paraId="4121A8CF">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1.1564</w:t>
            </w:r>
          </w:p>
        </w:tc>
        <w:tc>
          <w:tcPr>
            <w:tcW w:w="1301" w:type="dxa"/>
            <w:vAlign w:val="center"/>
          </w:tcPr>
          <w:p w14:paraId="2D17FA66">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3638.7267</w:t>
            </w:r>
          </w:p>
        </w:tc>
      </w:tr>
      <w:tr w14:paraId="7433F56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26D310F0">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4</w:t>
            </w:r>
          </w:p>
        </w:tc>
        <w:tc>
          <w:tcPr>
            <w:tcW w:w="511" w:type="dxa"/>
            <w:vAlign w:val="center"/>
          </w:tcPr>
          <w:p w14:paraId="1045D683">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60%</w:t>
            </w:r>
          </w:p>
        </w:tc>
        <w:tc>
          <w:tcPr>
            <w:tcW w:w="570" w:type="dxa"/>
            <w:vAlign w:val="center"/>
          </w:tcPr>
          <w:p w14:paraId="0128A16C">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486</w:t>
            </w:r>
          </w:p>
        </w:tc>
        <w:tc>
          <w:tcPr>
            <w:tcW w:w="1449" w:type="dxa"/>
            <w:vAlign w:val="center"/>
          </w:tcPr>
          <w:p w14:paraId="2F6CC25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Baseline</w:t>
            </w:r>
          </w:p>
        </w:tc>
        <w:tc>
          <w:tcPr>
            <w:tcW w:w="771" w:type="dxa"/>
            <w:vAlign w:val="center"/>
          </w:tcPr>
          <w:p w14:paraId="125DFD5F">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medium</w:t>
            </w:r>
          </w:p>
        </w:tc>
        <w:tc>
          <w:tcPr>
            <w:tcW w:w="963" w:type="dxa"/>
            <w:vAlign w:val="center"/>
          </w:tcPr>
          <w:p w14:paraId="74B1DFC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0.5368</w:t>
            </w:r>
          </w:p>
        </w:tc>
        <w:tc>
          <w:tcPr>
            <w:tcW w:w="893" w:type="dxa"/>
            <w:vAlign w:val="center"/>
          </w:tcPr>
          <w:p w14:paraId="687E447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0.5349</w:t>
            </w:r>
          </w:p>
        </w:tc>
        <w:tc>
          <w:tcPr>
            <w:tcW w:w="1668" w:type="dxa"/>
            <w:vAlign w:val="center"/>
          </w:tcPr>
          <w:p w14:paraId="5F4A9206">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-0.0019</w:t>
            </w:r>
          </w:p>
        </w:tc>
        <w:tc>
          <w:tcPr>
            <w:tcW w:w="1301" w:type="dxa"/>
            <w:vAlign w:val="center"/>
          </w:tcPr>
          <w:p w14:paraId="2449CFED">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2128.0936</w:t>
            </w:r>
          </w:p>
        </w:tc>
      </w:tr>
      <w:tr w14:paraId="233C0EB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4E4B6FB5">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5</w:t>
            </w:r>
          </w:p>
        </w:tc>
        <w:tc>
          <w:tcPr>
            <w:tcW w:w="511" w:type="dxa"/>
            <w:vAlign w:val="center"/>
          </w:tcPr>
          <w:p w14:paraId="174EBFD3">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60%</w:t>
            </w:r>
          </w:p>
        </w:tc>
        <w:tc>
          <w:tcPr>
            <w:tcW w:w="570" w:type="dxa"/>
            <w:vAlign w:val="center"/>
          </w:tcPr>
          <w:p w14:paraId="7AC607B1">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486</w:t>
            </w:r>
          </w:p>
        </w:tc>
        <w:tc>
          <w:tcPr>
            <w:tcW w:w="1449" w:type="dxa"/>
            <w:vAlign w:val="center"/>
          </w:tcPr>
          <w:p w14:paraId="1CD59520">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BOHB-best</w:t>
            </w:r>
          </w:p>
        </w:tc>
        <w:tc>
          <w:tcPr>
            <w:tcW w:w="771" w:type="dxa"/>
            <w:vAlign w:val="center"/>
          </w:tcPr>
          <w:p w14:paraId="32F77EF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full</w:t>
            </w:r>
          </w:p>
        </w:tc>
        <w:tc>
          <w:tcPr>
            <w:tcW w:w="963" w:type="dxa"/>
            <w:vAlign w:val="center"/>
          </w:tcPr>
          <w:p w14:paraId="274A0F0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0.5350</w:t>
            </w:r>
          </w:p>
        </w:tc>
        <w:tc>
          <w:tcPr>
            <w:tcW w:w="893" w:type="dxa"/>
            <w:vAlign w:val="center"/>
          </w:tcPr>
          <w:p w14:paraId="7F68C06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0.5749</w:t>
            </w:r>
          </w:p>
        </w:tc>
        <w:tc>
          <w:tcPr>
            <w:tcW w:w="1668" w:type="dxa"/>
            <w:vAlign w:val="center"/>
          </w:tcPr>
          <w:p w14:paraId="69D7EC2D">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0.0399</w:t>
            </w:r>
          </w:p>
        </w:tc>
        <w:tc>
          <w:tcPr>
            <w:tcW w:w="1301" w:type="dxa"/>
            <w:vAlign w:val="center"/>
          </w:tcPr>
          <w:p w14:paraId="6A7FBB04">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3649.1382</w:t>
            </w:r>
          </w:p>
        </w:tc>
      </w:tr>
      <w:tr w14:paraId="4C2E974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52E6B9D8">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6</w:t>
            </w:r>
          </w:p>
        </w:tc>
        <w:tc>
          <w:tcPr>
            <w:tcW w:w="511" w:type="dxa"/>
            <w:vAlign w:val="center"/>
          </w:tcPr>
          <w:p w14:paraId="0C4EF69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60%</w:t>
            </w:r>
          </w:p>
        </w:tc>
        <w:tc>
          <w:tcPr>
            <w:tcW w:w="570" w:type="dxa"/>
            <w:vAlign w:val="center"/>
          </w:tcPr>
          <w:p w14:paraId="69F60D3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486</w:t>
            </w:r>
          </w:p>
        </w:tc>
        <w:tc>
          <w:tcPr>
            <w:tcW w:w="1449" w:type="dxa"/>
            <w:vAlign w:val="center"/>
          </w:tcPr>
          <w:p w14:paraId="052266F8">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BOHB+NEFTune</w:t>
            </w:r>
          </w:p>
        </w:tc>
        <w:tc>
          <w:tcPr>
            <w:tcW w:w="771" w:type="dxa"/>
            <w:vAlign w:val="center"/>
          </w:tcPr>
          <w:p w14:paraId="222D0B4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short</w:t>
            </w:r>
          </w:p>
        </w:tc>
        <w:tc>
          <w:tcPr>
            <w:tcW w:w="963" w:type="dxa"/>
            <w:vAlign w:val="center"/>
          </w:tcPr>
          <w:p w14:paraId="1FD20EAD">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0.9960</w:t>
            </w:r>
          </w:p>
        </w:tc>
        <w:tc>
          <w:tcPr>
            <w:tcW w:w="893" w:type="dxa"/>
            <w:vAlign w:val="center"/>
          </w:tcPr>
          <w:p w14:paraId="17A55C86">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0.6094</w:t>
            </w:r>
          </w:p>
        </w:tc>
        <w:tc>
          <w:tcPr>
            <w:tcW w:w="1668" w:type="dxa"/>
            <w:vAlign w:val="center"/>
          </w:tcPr>
          <w:p w14:paraId="752953F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-0.3866</w:t>
            </w:r>
          </w:p>
        </w:tc>
        <w:tc>
          <w:tcPr>
            <w:tcW w:w="1301" w:type="dxa"/>
            <w:vAlign w:val="center"/>
          </w:tcPr>
          <w:p w14:paraId="2A43B7DF">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750.9625</w:t>
            </w:r>
          </w:p>
        </w:tc>
      </w:tr>
      <w:tr w14:paraId="13C58A0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661EF67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7</w:t>
            </w:r>
          </w:p>
        </w:tc>
        <w:tc>
          <w:tcPr>
            <w:tcW w:w="511" w:type="dxa"/>
            <w:vAlign w:val="center"/>
          </w:tcPr>
          <w:p w14:paraId="240E7E4B">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100%</w:t>
            </w:r>
          </w:p>
        </w:tc>
        <w:tc>
          <w:tcPr>
            <w:tcW w:w="570" w:type="dxa"/>
            <w:vAlign w:val="center"/>
          </w:tcPr>
          <w:p w14:paraId="65154914">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810</w:t>
            </w:r>
          </w:p>
        </w:tc>
        <w:tc>
          <w:tcPr>
            <w:tcW w:w="1449" w:type="dxa"/>
            <w:vAlign w:val="center"/>
          </w:tcPr>
          <w:p w14:paraId="6AB8474F">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Baseline</w:t>
            </w:r>
          </w:p>
        </w:tc>
        <w:tc>
          <w:tcPr>
            <w:tcW w:w="771" w:type="dxa"/>
            <w:vAlign w:val="center"/>
          </w:tcPr>
          <w:p w14:paraId="7D4A957F">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full</w:t>
            </w:r>
          </w:p>
        </w:tc>
        <w:tc>
          <w:tcPr>
            <w:tcW w:w="963" w:type="dxa"/>
            <w:vAlign w:val="center"/>
          </w:tcPr>
          <w:p w14:paraId="19DDD8AB">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0.4887</w:t>
            </w:r>
          </w:p>
        </w:tc>
        <w:tc>
          <w:tcPr>
            <w:tcW w:w="893" w:type="dxa"/>
            <w:vAlign w:val="center"/>
          </w:tcPr>
          <w:p w14:paraId="21532908">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0.5241</w:t>
            </w:r>
          </w:p>
        </w:tc>
        <w:tc>
          <w:tcPr>
            <w:tcW w:w="1668" w:type="dxa"/>
            <w:vAlign w:val="center"/>
          </w:tcPr>
          <w:p w14:paraId="5F8D309C">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0.0354</w:t>
            </w:r>
          </w:p>
        </w:tc>
        <w:tc>
          <w:tcPr>
            <w:tcW w:w="1301" w:type="dxa"/>
            <w:vAlign w:val="center"/>
          </w:tcPr>
          <w:p w14:paraId="7BFFDFA8">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3478.4686</w:t>
            </w:r>
          </w:p>
        </w:tc>
      </w:tr>
      <w:tr w14:paraId="4B68E4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3C3E135B">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8</w:t>
            </w:r>
          </w:p>
        </w:tc>
        <w:tc>
          <w:tcPr>
            <w:tcW w:w="511" w:type="dxa"/>
            <w:vAlign w:val="center"/>
          </w:tcPr>
          <w:p w14:paraId="14E83CCB">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100%</w:t>
            </w:r>
          </w:p>
        </w:tc>
        <w:tc>
          <w:tcPr>
            <w:tcW w:w="570" w:type="dxa"/>
            <w:vAlign w:val="center"/>
          </w:tcPr>
          <w:p w14:paraId="401F698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810</w:t>
            </w:r>
          </w:p>
        </w:tc>
        <w:tc>
          <w:tcPr>
            <w:tcW w:w="1449" w:type="dxa"/>
            <w:vAlign w:val="center"/>
          </w:tcPr>
          <w:p w14:paraId="0D924900">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BOHB-best</w:t>
            </w:r>
          </w:p>
        </w:tc>
        <w:tc>
          <w:tcPr>
            <w:tcW w:w="771" w:type="dxa"/>
            <w:vAlign w:val="center"/>
          </w:tcPr>
          <w:p w14:paraId="638009BD">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short</w:t>
            </w:r>
          </w:p>
        </w:tc>
        <w:tc>
          <w:tcPr>
            <w:tcW w:w="963" w:type="dxa"/>
            <w:vAlign w:val="center"/>
          </w:tcPr>
          <w:p w14:paraId="28971751">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0.9988</w:t>
            </w:r>
          </w:p>
        </w:tc>
        <w:tc>
          <w:tcPr>
            <w:tcW w:w="893" w:type="dxa"/>
            <w:vAlign w:val="center"/>
          </w:tcPr>
          <w:p w14:paraId="4C665680">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0.6369</w:t>
            </w:r>
          </w:p>
        </w:tc>
        <w:tc>
          <w:tcPr>
            <w:tcW w:w="1668" w:type="dxa"/>
            <w:vAlign w:val="center"/>
          </w:tcPr>
          <w:p w14:paraId="341B7C4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-0.3618</w:t>
            </w:r>
          </w:p>
        </w:tc>
        <w:tc>
          <w:tcPr>
            <w:tcW w:w="1301" w:type="dxa"/>
            <w:vAlign w:val="center"/>
          </w:tcPr>
          <w:p w14:paraId="5A6395F2">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719.0421</w:t>
            </w:r>
          </w:p>
        </w:tc>
      </w:tr>
      <w:tr w14:paraId="59F9F06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96" w:type="dxa"/>
            <w:vAlign w:val="center"/>
          </w:tcPr>
          <w:p w14:paraId="1A1B2247">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9</w:t>
            </w:r>
          </w:p>
        </w:tc>
        <w:tc>
          <w:tcPr>
            <w:tcW w:w="511" w:type="dxa"/>
            <w:vAlign w:val="center"/>
          </w:tcPr>
          <w:p w14:paraId="60EA5B2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100%</w:t>
            </w:r>
          </w:p>
        </w:tc>
        <w:tc>
          <w:tcPr>
            <w:tcW w:w="570" w:type="dxa"/>
            <w:vAlign w:val="center"/>
          </w:tcPr>
          <w:p w14:paraId="7BE5464B">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810</w:t>
            </w:r>
          </w:p>
        </w:tc>
        <w:tc>
          <w:tcPr>
            <w:tcW w:w="1449" w:type="dxa"/>
            <w:vAlign w:val="center"/>
          </w:tcPr>
          <w:p w14:paraId="4438F6D9">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BOHB+NEFTune</w:t>
            </w:r>
          </w:p>
        </w:tc>
        <w:tc>
          <w:tcPr>
            <w:tcW w:w="771" w:type="dxa"/>
            <w:vAlign w:val="center"/>
          </w:tcPr>
          <w:p w14:paraId="7FF5ED9E">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medium</w:t>
            </w:r>
          </w:p>
        </w:tc>
        <w:tc>
          <w:tcPr>
            <w:tcW w:w="963" w:type="dxa"/>
            <w:vAlign w:val="center"/>
          </w:tcPr>
          <w:p w14:paraId="3F84C18A">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0.7578</w:t>
            </w:r>
          </w:p>
        </w:tc>
        <w:tc>
          <w:tcPr>
            <w:tcW w:w="893" w:type="dxa"/>
            <w:vAlign w:val="center"/>
          </w:tcPr>
          <w:p w14:paraId="433BD00E">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0.4996</w:t>
            </w:r>
          </w:p>
        </w:tc>
        <w:tc>
          <w:tcPr>
            <w:tcW w:w="1668" w:type="dxa"/>
            <w:vAlign w:val="center"/>
          </w:tcPr>
          <w:p w14:paraId="3BAA72D4">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-0.2582</w:t>
            </w:r>
          </w:p>
        </w:tc>
        <w:tc>
          <w:tcPr>
            <w:tcW w:w="1301" w:type="dxa"/>
            <w:vAlign w:val="center"/>
          </w:tcPr>
          <w:p w14:paraId="581876E8">
            <w:pPr>
              <w:widowControl/>
              <w:spacing w:after="0" w:line="240" w:lineRule="auto"/>
              <w:jc w:val="center"/>
              <w:rPr>
                <w:rFonts w:ascii="Times New Roman" w:hAnsi="Times New Roman" w:eastAsia="宋体" w:cs="Times New Roman"/>
                <w:kern w:val="0"/>
                <w:sz w:val="19"/>
                <w:szCs w:val="22"/>
                <w:lang w:eastAsia="en-US"/>
              </w:rPr>
            </w:pPr>
            <w:r>
              <w:rPr>
                <w:rFonts w:ascii="Times New Roman" w:hAnsi="Times New Roman" w:eastAsia="宋体" w:cs="Times New Roman"/>
                <w:b w:val="0"/>
                <w:kern w:val="0"/>
                <w:sz w:val="17"/>
                <w:szCs w:val="22"/>
                <w:lang w:eastAsia="en-US"/>
              </w:rPr>
              <w:t>2139.8204</w:t>
            </w:r>
          </w:p>
        </w:tc>
      </w:tr>
    </w:tbl>
    <w:p w14:paraId="69F45E2F">
      <w:pPr>
        <w:spacing w:after="40"/>
      </w:pPr>
    </w:p>
    <w:p w14:paraId="6F42E38C">
      <w:pPr>
        <w:pStyle w:val="10"/>
        <w:keepNext w:val="0"/>
        <w:keepLines w:val="0"/>
        <w:widowControl/>
        <w:suppressLineNumbers w:val="0"/>
        <w:ind w:firstLine="420" w:firstLineChars="0"/>
      </w:pPr>
      <w:r>
        <w:rPr>
          <w:rFonts w:ascii="宋体" w:hAnsi="宋体" w:eastAsia="宋体" w:cs="宋体"/>
          <w:sz w:val="24"/>
          <w:szCs w:val="24"/>
        </w:rPr>
        <w:t xml:space="preserve">表 </w:t>
      </w:r>
      <w:r>
        <w:rPr>
          <w:rFonts w:hint="eastAsia" w:ascii="宋体" w:hAnsi="宋体" w:eastAsia="宋体" w:cs="宋体"/>
          <w:sz w:val="24"/>
          <w:szCs w:val="24"/>
          <w:lang w:val="en-US" w:eastAsia="zh-CN"/>
        </w:rPr>
        <w:t>1</w:t>
      </w:r>
      <w:r>
        <w:rPr>
          <w:rFonts w:ascii="宋体" w:hAnsi="宋体" w:eastAsia="宋体" w:cs="宋体"/>
          <w:sz w:val="24"/>
          <w:szCs w:val="24"/>
        </w:rPr>
        <w:t xml:space="preserve"> 展示了 Taguchi L9 正交实验的完整结果。该表将数据规模、调参策略和训练资源作为三个主要因素，每个因素设置三个水平，并通过 9 组实验比较不同组合下的模型表现。</w:t>
      </w:r>
    </w:p>
    <w:p w14:paraId="5034F015">
      <w:pPr>
        <w:jc w:val="center"/>
      </w:pPr>
      <w:r>
        <w:rPr>
          <w:rFonts w:ascii="Times New Roman" w:hAnsi="Times New Roman" w:eastAsia="黑体"/>
          <w:b/>
          <w:sz w:val="22"/>
        </w:rPr>
        <w:t>表 2 数据规模主效应分析</w:t>
      </w:r>
    </w:p>
    <w:tbl>
      <w:tblPr>
        <w:tblStyle w:val="1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440"/>
        <w:gridCol w:w="1728"/>
        <w:gridCol w:w="1728"/>
        <w:gridCol w:w="2304"/>
        <w:gridCol w:w="2016"/>
      </w:tblGrid>
      <w:tr w14:paraId="2393B8D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shd w:val="clear" w:color="auto" w:fill="D9EAF7"/>
            <w:vAlign w:val="center"/>
          </w:tcPr>
          <w:p w14:paraId="3122AAB4">
            <w:pPr>
              <w:spacing w:after="0" w:line="240" w:lineRule="auto"/>
              <w:jc w:val="center"/>
            </w:pPr>
            <w:r>
              <w:rPr>
                <w:rFonts w:ascii="Times New Roman" w:hAnsi="Times New Roman" w:eastAsia="宋体"/>
                <w:b/>
                <w:sz w:val="18"/>
              </w:rPr>
              <w:t>数据规模</w:t>
            </w:r>
          </w:p>
        </w:tc>
        <w:tc>
          <w:tcPr>
            <w:tcW w:w="1728" w:type="dxa"/>
            <w:shd w:val="clear" w:color="auto" w:fill="D9EAF7"/>
            <w:vAlign w:val="center"/>
          </w:tcPr>
          <w:p w14:paraId="5BAD15FC">
            <w:pPr>
              <w:spacing w:after="0" w:line="240" w:lineRule="auto"/>
              <w:jc w:val="center"/>
            </w:pPr>
            <w:r>
              <w:rPr>
                <w:rFonts w:ascii="Times New Roman" w:hAnsi="Times New Roman" w:eastAsia="宋体"/>
                <w:b/>
                <w:sz w:val="18"/>
              </w:rPr>
              <w:t>平均 train_loss</w:t>
            </w:r>
          </w:p>
        </w:tc>
        <w:tc>
          <w:tcPr>
            <w:tcW w:w="1728" w:type="dxa"/>
            <w:shd w:val="clear" w:color="auto" w:fill="D9EAF7"/>
            <w:vAlign w:val="center"/>
          </w:tcPr>
          <w:p w14:paraId="0460F558">
            <w:pPr>
              <w:spacing w:after="0" w:line="240" w:lineRule="auto"/>
              <w:jc w:val="center"/>
            </w:pPr>
            <w:r>
              <w:rPr>
                <w:rFonts w:ascii="Times New Roman" w:hAnsi="Times New Roman" w:eastAsia="宋体"/>
                <w:b/>
                <w:sz w:val="18"/>
              </w:rPr>
              <w:t>平均 eval_loss</w:t>
            </w:r>
          </w:p>
        </w:tc>
        <w:tc>
          <w:tcPr>
            <w:tcW w:w="2304" w:type="dxa"/>
            <w:shd w:val="clear" w:color="auto" w:fill="D9EAF7"/>
            <w:vAlign w:val="center"/>
          </w:tcPr>
          <w:p w14:paraId="154DF235">
            <w:pPr>
              <w:spacing w:after="0" w:line="240" w:lineRule="auto"/>
              <w:jc w:val="center"/>
            </w:pPr>
            <w:r>
              <w:rPr>
                <w:rFonts w:ascii="Times New Roman" w:hAnsi="Times New Roman" w:eastAsia="宋体"/>
                <w:b/>
                <w:sz w:val="18"/>
              </w:rPr>
              <w:t>平均 generalization_gap</w:t>
            </w:r>
          </w:p>
        </w:tc>
        <w:tc>
          <w:tcPr>
            <w:tcW w:w="2016" w:type="dxa"/>
            <w:shd w:val="clear" w:color="auto" w:fill="D9EAF7"/>
            <w:vAlign w:val="center"/>
          </w:tcPr>
          <w:p w14:paraId="0450D5A6">
            <w:pPr>
              <w:spacing w:after="0" w:line="240" w:lineRule="auto"/>
              <w:jc w:val="center"/>
            </w:pPr>
            <w:r>
              <w:rPr>
                <w:rFonts w:ascii="Times New Roman" w:hAnsi="Times New Roman" w:eastAsia="宋体"/>
                <w:b/>
                <w:sz w:val="18"/>
              </w:rPr>
              <w:t>平均 train_runtime</w:t>
            </w:r>
          </w:p>
        </w:tc>
      </w:tr>
      <w:tr w14:paraId="61F841D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vAlign w:val="center"/>
          </w:tcPr>
          <w:p w14:paraId="73E1F3BC">
            <w:pPr>
              <w:spacing w:after="0" w:line="240" w:lineRule="auto"/>
              <w:jc w:val="center"/>
            </w:pPr>
            <w:r>
              <w:rPr>
                <w:rFonts w:ascii="Times New Roman" w:hAnsi="Times New Roman" w:eastAsia="宋体"/>
                <w:b w:val="0"/>
                <w:sz w:val="17"/>
              </w:rPr>
              <w:t>100%</w:t>
            </w:r>
          </w:p>
        </w:tc>
        <w:tc>
          <w:tcPr>
            <w:tcW w:w="1728" w:type="dxa"/>
            <w:vAlign w:val="center"/>
          </w:tcPr>
          <w:p w14:paraId="693069D7">
            <w:pPr>
              <w:spacing w:after="0" w:line="240" w:lineRule="auto"/>
              <w:jc w:val="center"/>
            </w:pPr>
            <w:r>
              <w:rPr>
                <w:rFonts w:ascii="Times New Roman" w:hAnsi="Times New Roman" w:eastAsia="宋体"/>
                <w:b w:val="0"/>
                <w:sz w:val="17"/>
              </w:rPr>
              <w:t>0.7484</w:t>
            </w:r>
          </w:p>
        </w:tc>
        <w:tc>
          <w:tcPr>
            <w:tcW w:w="1728" w:type="dxa"/>
            <w:vAlign w:val="center"/>
          </w:tcPr>
          <w:p w14:paraId="6BDABA3E">
            <w:pPr>
              <w:spacing w:after="0" w:line="240" w:lineRule="auto"/>
              <w:jc w:val="center"/>
            </w:pPr>
            <w:r>
              <w:rPr>
                <w:rFonts w:ascii="Times New Roman" w:hAnsi="Times New Roman" w:eastAsia="宋体"/>
                <w:b w:val="0"/>
                <w:sz w:val="17"/>
              </w:rPr>
              <w:t>0.5535</w:t>
            </w:r>
          </w:p>
        </w:tc>
        <w:tc>
          <w:tcPr>
            <w:tcW w:w="2304" w:type="dxa"/>
            <w:vAlign w:val="center"/>
          </w:tcPr>
          <w:p w14:paraId="3B3E5DF2">
            <w:pPr>
              <w:spacing w:after="0" w:line="240" w:lineRule="auto"/>
              <w:jc w:val="center"/>
            </w:pPr>
            <w:r>
              <w:rPr>
                <w:rFonts w:ascii="Times New Roman" w:hAnsi="Times New Roman" w:eastAsia="宋体"/>
                <w:b w:val="0"/>
                <w:sz w:val="17"/>
              </w:rPr>
              <w:t>-0.1949</w:t>
            </w:r>
          </w:p>
        </w:tc>
        <w:tc>
          <w:tcPr>
            <w:tcW w:w="2016" w:type="dxa"/>
            <w:vAlign w:val="center"/>
          </w:tcPr>
          <w:p w14:paraId="707D4B68">
            <w:pPr>
              <w:spacing w:after="0" w:line="240" w:lineRule="auto"/>
              <w:jc w:val="center"/>
            </w:pPr>
            <w:r>
              <w:rPr>
                <w:rFonts w:ascii="Times New Roman" w:hAnsi="Times New Roman" w:eastAsia="宋体"/>
                <w:b w:val="0"/>
                <w:sz w:val="17"/>
              </w:rPr>
              <w:t>2112.4437</w:t>
            </w:r>
          </w:p>
        </w:tc>
      </w:tr>
      <w:tr w14:paraId="245ADD8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vAlign w:val="center"/>
          </w:tcPr>
          <w:p w14:paraId="09CF79F3">
            <w:pPr>
              <w:spacing w:after="0" w:line="240" w:lineRule="auto"/>
              <w:jc w:val="center"/>
            </w:pPr>
            <w:r>
              <w:rPr>
                <w:rFonts w:ascii="Times New Roman" w:hAnsi="Times New Roman" w:eastAsia="宋体"/>
                <w:b w:val="0"/>
                <w:sz w:val="17"/>
              </w:rPr>
              <w:t>30%</w:t>
            </w:r>
          </w:p>
        </w:tc>
        <w:tc>
          <w:tcPr>
            <w:tcW w:w="1728" w:type="dxa"/>
            <w:vAlign w:val="center"/>
          </w:tcPr>
          <w:p w14:paraId="331FCC2E">
            <w:pPr>
              <w:spacing w:after="0" w:line="240" w:lineRule="auto"/>
              <w:jc w:val="center"/>
            </w:pPr>
            <w:r>
              <w:rPr>
                <w:rFonts w:ascii="Times New Roman" w:hAnsi="Times New Roman" w:eastAsia="宋体"/>
                <w:b w:val="0"/>
                <w:sz w:val="17"/>
              </w:rPr>
              <w:t>0.5750</w:t>
            </w:r>
          </w:p>
        </w:tc>
        <w:tc>
          <w:tcPr>
            <w:tcW w:w="1728" w:type="dxa"/>
            <w:vAlign w:val="center"/>
          </w:tcPr>
          <w:p w14:paraId="5E146ED3">
            <w:pPr>
              <w:spacing w:after="0" w:line="240" w:lineRule="auto"/>
              <w:jc w:val="center"/>
            </w:pPr>
            <w:r>
              <w:rPr>
                <w:rFonts w:ascii="Times New Roman" w:hAnsi="Times New Roman" w:eastAsia="宋体"/>
                <w:b w:val="0"/>
                <w:sz w:val="17"/>
              </w:rPr>
              <w:t>1.1673</w:t>
            </w:r>
          </w:p>
        </w:tc>
        <w:tc>
          <w:tcPr>
            <w:tcW w:w="2304" w:type="dxa"/>
            <w:vAlign w:val="center"/>
          </w:tcPr>
          <w:p w14:paraId="40AA3D41">
            <w:pPr>
              <w:spacing w:after="0" w:line="240" w:lineRule="auto"/>
              <w:jc w:val="center"/>
            </w:pPr>
            <w:r>
              <w:rPr>
                <w:rFonts w:ascii="Times New Roman" w:hAnsi="Times New Roman" w:eastAsia="宋体"/>
                <w:b w:val="0"/>
                <w:sz w:val="17"/>
              </w:rPr>
              <w:t>0.5922</w:t>
            </w:r>
          </w:p>
        </w:tc>
        <w:tc>
          <w:tcPr>
            <w:tcW w:w="2016" w:type="dxa"/>
            <w:vAlign w:val="center"/>
          </w:tcPr>
          <w:p w14:paraId="6D15B53E">
            <w:pPr>
              <w:spacing w:after="0" w:line="240" w:lineRule="auto"/>
              <w:jc w:val="center"/>
            </w:pPr>
            <w:r>
              <w:rPr>
                <w:rFonts w:ascii="Times New Roman" w:hAnsi="Times New Roman" w:eastAsia="宋体"/>
                <w:b w:val="0"/>
                <w:sz w:val="17"/>
              </w:rPr>
              <w:t>2174.9835</w:t>
            </w:r>
          </w:p>
        </w:tc>
      </w:tr>
      <w:tr w14:paraId="63FEAB1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vAlign w:val="center"/>
          </w:tcPr>
          <w:p w14:paraId="6011EAE6">
            <w:pPr>
              <w:spacing w:after="0" w:line="240" w:lineRule="auto"/>
              <w:jc w:val="center"/>
            </w:pPr>
            <w:r>
              <w:rPr>
                <w:rFonts w:ascii="Times New Roman" w:hAnsi="Times New Roman" w:eastAsia="宋体"/>
                <w:b w:val="0"/>
                <w:sz w:val="17"/>
              </w:rPr>
              <w:t>60%</w:t>
            </w:r>
          </w:p>
        </w:tc>
        <w:tc>
          <w:tcPr>
            <w:tcW w:w="1728" w:type="dxa"/>
            <w:vAlign w:val="center"/>
          </w:tcPr>
          <w:p w14:paraId="552B9D2D">
            <w:pPr>
              <w:spacing w:after="0" w:line="240" w:lineRule="auto"/>
              <w:jc w:val="center"/>
            </w:pPr>
            <w:r>
              <w:rPr>
                <w:rFonts w:ascii="Times New Roman" w:hAnsi="Times New Roman" w:eastAsia="宋体"/>
                <w:b w:val="0"/>
                <w:sz w:val="17"/>
              </w:rPr>
              <w:t>0.6893</w:t>
            </w:r>
          </w:p>
        </w:tc>
        <w:tc>
          <w:tcPr>
            <w:tcW w:w="1728" w:type="dxa"/>
            <w:vAlign w:val="center"/>
          </w:tcPr>
          <w:p w14:paraId="494DE1E9">
            <w:pPr>
              <w:spacing w:after="0" w:line="240" w:lineRule="auto"/>
              <w:jc w:val="center"/>
            </w:pPr>
            <w:r>
              <w:rPr>
                <w:rFonts w:ascii="Times New Roman" w:hAnsi="Times New Roman" w:eastAsia="宋体"/>
                <w:b w:val="0"/>
                <w:sz w:val="17"/>
              </w:rPr>
              <w:t>0.5731</w:t>
            </w:r>
          </w:p>
        </w:tc>
        <w:tc>
          <w:tcPr>
            <w:tcW w:w="2304" w:type="dxa"/>
            <w:vAlign w:val="center"/>
          </w:tcPr>
          <w:p w14:paraId="339672A5">
            <w:pPr>
              <w:spacing w:after="0" w:line="240" w:lineRule="auto"/>
              <w:jc w:val="center"/>
            </w:pPr>
            <w:r>
              <w:rPr>
                <w:rFonts w:ascii="Times New Roman" w:hAnsi="Times New Roman" w:eastAsia="宋体"/>
                <w:b w:val="0"/>
                <w:sz w:val="17"/>
              </w:rPr>
              <w:t>-0.1162</w:t>
            </w:r>
          </w:p>
        </w:tc>
        <w:tc>
          <w:tcPr>
            <w:tcW w:w="2016" w:type="dxa"/>
            <w:vAlign w:val="center"/>
          </w:tcPr>
          <w:p w14:paraId="013843DA">
            <w:pPr>
              <w:spacing w:after="0" w:line="240" w:lineRule="auto"/>
              <w:jc w:val="center"/>
            </w:pPr>
            <w:r>
              <w:rPr>
                <w:rFonts w:ascii="Times New Roman" w:hAnsi="Times New Roman" w:eastAsia="宋体"/>
                <w:b w:val="0"/>
                <w:sz w:val="17"/>
              </w:rPr>
              <w:t>2176.0648</w:t>
            </w:r>
          </w:p>
        </w:tc>
      </w:tr>
    </w:tbl>
    <w:p w14:paraId="7BB1CF3E"/>
    <w:p w14:paraId="12C88404">
      <w:pPr>
        <w:pStyle w:val="10"/>
        <w:keepNext w:val="0"/>
        <w:keepLines w:val="0"/>
        <w:widowControl/>
        <w:suppressLineNumbers w:val="0"/>
        <w:ind w:firstLine="420" w:firstLineChars="0"/>
        <w:rPr>
          <w:rFonts w:hint="eastAsia" w:ascii="宋体" w:hAnsi="宋体" w:eastAsia="宋体" w:cs="宋体"/>
          <w:sz w:val="24"/>
          <w:szCs w:val="24"/>
          <w:lang w:val="en-US" w:eastAsia="zh-CN"/>
        </w:rPr>
      </w:pPr>
      <w:r>
        <w:rPr>
          <w:rFonts w:ascii="宋体" w:hAnsi="宋体" w:eastAsia="宋体" w:cs="宋体"/>
          <w:sz w:val="24"/>
          <w:szCs w:val="24"/>
        </w:rPr>
        <w:t xml:space="preserve">表 </w:t>
      </w:r>
      <w:r>
        <w:rPr>
          <w:rFonts w:hint="eastAsia" w:ascii="宋体" w:hAnsi="宋体" w:eastAsia="宋体" w:cs="宋体"/>
          <w:sz w:val="24"/>
          <w:szCs w:val="24"/>
          <w:lang w:val="en-US" w:eastAsia="zh-CN"/>
        </w:rPr>
        <w:t>2</w:t>
      </w:r>
      <w:r>
        <w:rPr>
          <w:rFonts w:ascii="宋体" w:hAnsi="宋体" w:eastAsia="宋体" w:cs="宋体"/>
          <w:sz w:val="24"/>
          <w:szCs w:val="24"/>
        </w:rPr>
        <w:t xml:space="preserve"> 展示了数据规模的主效应分析结果。通过比较 30%、60% 和 100% 三种数据规模下的平均 eval_loss 可以发现，100% 数据规模取得最低平均 eval_loss，为 0.5535；60% 数据规模次之，为 0.5731；而 30% 数据规模的平均 eval_loss 高达 1.1673，明显高于另外两组。这说明数据规模对模型表现具有显著影响，尤其是训练数据过少时，模型难以充分学习岗位推荐任务中的稳定模式，导致验证集表现明显下降。因此，在本实验中，数据规模是影响模型泛化能力的最重要因素之一。</w:t>
      </w:r>
    </w:p>
    <w:p w14:paraId="0D498608">
      <w:pPr>
        <w:jc w:val="center"/>
      </w:pPr>
      <w:r>
        <w:rPr>
          <w:rFonts w:ascii="Times New Roman" w:hAnsi="Times New Roman" w:eastAsia="黑体"/>
          <w:b/>
          <w:sz w:val="22"/>
        </w:rPr>
        <w:t>表 3 调参策略主效应分析</w:t>
      </w:r>
    </w:p>
    <w:tbl>
      <w:tblPr>
        <w:tblStyle w:val="1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160"/>
        <w:gridCol w:w="1728"/>
        <w:gridCol w:w="1728"/>
        <w:gridCol w:w="2304"/>
        <w:gridCol w:w="2016"/>
      </w:tblGrid>
      <w:tr w14:paraId="6467EA0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shd w:val="clear" w:color="auto" w:fill="D9EAF7"/>
            <w:vAlign w:val="center"/>
          </w:tcPr>
          <w:p w14:paraId="71CCEC58">
            <w:pPr>
              <w:spacing w:after="0" w:line="240" w:lineRule="auto"/>
              <w:jc w:val="center"/>
            </w:pPr>
            <w:r>
              <w:rPr>
                <w:rFonts w:ascii="Times New Roman" w:hAnsi="Times New Roman" w:eastAsia="宋体"/>
                <w:b/>
                <w:sz w:val="18"/>
              </w:rPr>
              <w:t>调参策略</w:t>
            </w:r>
          </w:p>
        </w:tc>
        <w:tc>
          <w:tcPr>
            <w:tcW w:w="1728" w:type="dxa"/>
            <w:shd w:val="clear" w:color="auto" w:fill="D9EAF7"/>
            <w:vAlign w:val="center"/>
          </w:tcPr>
          <w:p w14:paraId="630CFF28">
            <w:pPr>
              <w:spacing w:after="0" w:line="240" w:lineRule="auto"/>
              <w:jc w:val="center"/>
            </w:pPr>
            <w:r>
              <w:rPr>
                <w:rFonts w:ascii="Times New Roman" w:hAnsi="Times New Roman" w:eastAsia="宋体"/>
                <w:b/>
                <w:sz w:val="18"/>
              </w:rPr>
              <w:t>平均 train_loss</w:t>
            </w:r>
          </w:p>
        </w:tc>
        <w:tc>
          <w:tcPr>
            <w:tcW w:w="1728" w:type="dxa"/>
            <w:shd w:val="clear" w:color="auto" w:fill="D9EAF7"/>
            <w:vAlign w:val="center"/>
          </w:tcPr>
          <w:p w14:paraId="6F206B45">
            <w:pPr>
              <w:spacing w:after="0" w:line="240" w:lineRule="auto"/>
              <w:jc w:val="center"/>
            </w:pPr>
            <w:r>
              <w:rPr>
                <w:rFonts w:ascii="Times New Roman" w:hAnsi="Times New Roman" w:eastAsia="宋体"/>
                <w:b/>
                <w:sz w:val="18"/>
              </w:rPr>
              <w:t>平均 eval_loss</w:t>
            </w:r>
          </w:p>
        </w:tc>
        <w:tc>
          <w:tcPr>
            <w:tcW w:w="2304" w:type="dxa"/>
            <w:shd w:val="clear" w:color="auto" w:fill="D9EAF7"/>
            <w:vAlign w:val="center"/>
          </w:tcPr>
          <w:p w14:paraId="0B196D81">
            <w:pPr>
              <w:spacing w:after="0" w:line="240" w:lineRule="auto"/>
              <w:jc w:val="center"/>
            </w:pPr>
            <w:r>
              <w:rPr>
                <w:rFonts w:ascii="Times New Roman" w:hAnsi="Times New Roman" w:eastAsia="宋体"/>
                <w:b/>
                <w:sz w:val="18"/>
              </w:rPr>
              <w:t>平均 generalization_gap</w:t>
            </w:r>
          </w:p>
        </w:tc>
        <w:tc>
          <w:tcPr>
            <w:tcW w:w="2016" w:type="dxa"/>
            <w:shd w:val="clear" w:color="auto" w:fill="D9EAF7"/>
            <w:vAlign w:val="center"/>
          </w:tcPr>
          <w:p w14:paraId="534275CD">
            <w:pPr>
              <w:spacing w:after="0" w:line="240" w:lineRule="auto"/>
              <w:jc w:val="center"/>
            </w:pPr>
            <w:r>
              <w:rPr>
                <w:rFonts w:ascii="Times New Roman" w:hAnsi="Times New Roman" w:eastAsia="宋体"/>
                <w:b/>
                <w:sz w:val="18"/>
              </w:rPr>
              <w:t>平均 train_runtime</w:t>
            </w:r>
          </w:p>
        </w:tc>
      </w:tr>
      <w:tr w14:paraId="1140F4D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71546DD2">
            <w:pPr>
              <w:spacing w:after="0" w:line="240" w:lineRule="auto"/>
              <w:jc w:val="center"/>
            </w:pPr>
            <w:r>
              <w:rPr>
                <w:rFonts w:ascii="Times New Roman" w:hAnsi="Times New Roman" w:eastAsia="宋体"/>
                <w:b w:val="0"/>
                <w:sz w:val="17"/>
              </w:rPr>
              <w:t>BOHB+NEFTune</w:t>
            </w:r>
          </w:p>
        </w:tc>
        <w:tc>
          <w:tcPr>
            <w:tcW w:w="1728" w:type="dxa"/>
            <w:vAlign w:val="center"/>
          </w:tcPr>
          <w:p w14:paraId="13EFD192">
            <w:pPr>
              <w:spacing w:after="0" w:line="240" w:lineRule="auto"/>
              <w:jc w:val="center"/>
            </w:pPr>
            <w:r>
              <w:rPr>
                <w:rFonts w:ascii="Times New Roman" w:hAnsi="Times New Roman" w:eastAsia="宋体"/>
                <w:b w:val="0"/>
                <w:sz w:val="17"/>
              </w:rPr>
              <w:t>0.7085</w:t>
            </w:r>
          </w:p>
        </w:tc>
        <w:tc>
          <w:tcPr>
            <w:tcW w:w="1728" w:type="dxa"/>
            <w:vAlign w:val="center"/>
          </w:tcPr>
          <w:p w14:paraId="0AC28966">
            <w:pPr>
              <w:spacing w:after="0" w:line="240" w:lineRule="auto"/>
              <w:jc w:val="center"/>
            </w:pPr>
            <w:r>
              <w:rPr>
                <w:rFonts w:ascii="Times New Roman" w:hAnsi="Times New Roman" w:eastAsia="宋体"/>
                <w:b w:val="0"/>
                <w:sz w:val="17"/>
              </w:rPr>
              <w:t>0.8791</w:t>
            </w:r>
          </w:p>
        </w:tc>
        <w:tc>
          <w:tcPr>
            <w:tcW w:w="2304" w:type="dxa"/>
            <w:vAlign w:val="center"/>
          </w:tcPr>
          <w:p w14:paraId="403D6007">
            <w:pPr>
              <w:spacing w:after="0" w:line="240" w:lineRule="auto"/>
              <w:jc w:val="center"/>
            </w:pPr>
            <w:r>
              <w:rPr>
                <w:rFonts w:ascii="Times New Roman" w:hAnsi="Times New Roman" w:eastAsia="宋体"/>
                <w:b w:val="0"/>
                <w:sz w:val="17"/>
              </w:rPr>
              <w:t>0.1705</w:t>
            </w:r>
          </w:p>
        </w:tc>
        <w:tc>
          <w:tcPr>
            <w:tcW w:w="2016" w:type="dxa"/>
            <w:vAlign w:val="center"/>
          </w:tcPr>
          <w:p w14:paraId="57C60C5F">
            <w:pPr>
              <w:spacing w:after="0" w:line="240" w:lineRule="auto"/>
              <w:jc w:val="center"/>
            </w:pPr>
            <w:r>
              <w:rPr>
                <w:rFonts w:ascii="Times New Roman" w:hAnsi="Times New Roman" w:eastAsia="宋体"/>
                <w:b w:val="0"/>
                <w:sz w:val="17"/>
              </w:rPr>
              <w:t>2176.5032</w:t>
            </w:r>
          </w:p>
        </w:tc>
      </w:tr>
      <w:tr w14:paraId="67790950">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4859F050">
            <w:pPr>
              <w:spacing w:after="0" w:line="240" w:lineRule="auto"/>
              <w:jc w:val="center"/>
            </w:pPr>
            <w:r>
              <w:rPr>
                <w:rFonts w:ascii="Times New Roman" w:hAnsi="Times New Roman" w:eastAsia="宋体"/>
                <w:b w:val="0"/>
                <w:sz w:val="17"/>
              </w:rPr>
              <w:t>BOHB-best</w:t>
            </w:r>
          </w:p>
        </w:tc>
        <w:tc>
          <w:tcPr>
            <w:tcW w:w="1728" w:type="dxa"/>
            <w:vAlign w:val="center"/>
          </w:tcPr>
          <w:p w14:paraId="3A65DCE5">
            <w:pPr>
              <w:spacing w:after="0" w:line="240" w:lineRule="auto"/>
              <w:jc w:val="center"/>
            </w:pPr>
            <w:r>
              <w:rPr>
                <w:rFonts w:ascii="Times New Roman" w:hAnsi="Times New Roman" w:eastAsia="宋体"/>
                <w:b w:val="0"/>
                <w:sz w:val="17"/>
              </w:rPr>
              <w:t>0.7009</w:t>
            </w:r>
          </w:p>
        </w:tc>
        <w:tc>
          <w:tcPr>
            <w:tcW w:w="1728" w:type="dxa"/>
            <w:vAlign w:val="center"/>
          </w:tcPr>
          <w:p w14:paraId="47B665DD">
            <w:pPr>
              <w:spacing w:after="0" w:line="240" w:lineRule="auto"/>
              <w:jc w:val="center"/>
            </w:pPr>
            <w:r>
              <w:rPr>
                <w:rFonts w:ascii="Times New Roman" w:hAnsi="Times New Roman" w:eastAsia="宋体"/>
                <w:b w:val="0"/>
                <w:sz w:val="17"/>
              </w:rPr>
              <w:t>0.7631</w:t>
            </w:r>
          </w:p>
        </w:tc>
        <w:tc>
          <w:tcPr>
            <w:tcW w:w="2304" w:type="dxa"/>
            <w:vAlign w:val="center"/>
          </w:tcPr>
          <w:p w14:paraId="16EE0B69">
            <w:pPr>
              <w:spacing w:after="0" w:line="240" w:lineRule="auto"/>
              <w:jc w:val="center"/>
            </w:pPr>
            <w:r>
              <w:rPr>
                <w:rFonts w:ascii="Times New Roman" w:hAnsi="Times New Roman" w:eastAsia="宋体"/>
                <w:b w:val="0"/>
                <w:sz w:val="17"/>
              </w:rPr>
              <w:t>0.0622</w:t>
            </w:r>
          </w:p>
        </w:tc>
        <w:tc>
          <w:tcPr>
            <w:tcW w:w="2016" w:type="dxa"/>
            <w:vAlign w:val="center"/>
          </w:tcPr>
          <w:p w14:paraId="036DCA9A">
            <w:pPr>
              <w:spacing w:after="0" w:line="240" w:lineRule="auto"/>
              <w:jc w:val="center"/>
            </w:pPr>
            <w:r>
              <w:rPr>
                <w:rFonts w:ascii="Times New Roman" w:hAnsi="Times New Roman" w:eastAsia="宋体"/>
                <w:b w:val="0"/>
                <w:sz w:val="17"/>
              </w:rPr>
              <w:t>2181.5556</w:t>
            </w:r>
          </w:p>
        </w:tc>
      </w:tr>
      <w:tr w14:paraId="4075857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4BC2381B">
            <w:pPr>
              <w:spacing w:after="0" w:line="240" w:lineRule="auto"/>
              <w:jc w:val="center"/>
            </w:pPr>
            <w:r>
              <w:rPr>
                <w:rFonts w:ascii="Times New Roman" w:hAnsi="Times New Roman" w:eastAsia="宋体"/>
                <w:b w:val="0"/>
                <w:sz w:val="17"/>
              </w:rPr>
              <w:t>Baseline</w:t>
            </w:r>
          </w:p>
        </w:tc>
        <w:tc>
          <w:tcPr>
            <w:tcW w:w="1728" w:type="dxa"/>
            <w:vAlign w:val="center"/>
          </w:tcPr>
          <w:p w14:paraId="4CED59A6">
            <w:pPr>
              <w:spacing w:after="0" w:line="240" w:lineRule="auto"/>
              <w:jc w:val="center"/>
            </w:pPr>
            <w:r>
              <w:rPr>
                <w:rFonts w:ascii="Times New Roman" w:hAnsi="Times New Roman" w:eastAsia="宋体"/>
                <w:b w:val="0"/>
                <w:sz w:val="17"/>
              </w:rPr>
              <w:t>0.6032</w:t>
            </w:r>
          </w:p>
        </w:tc>
        <w:tc>
          <w:tcPr>
            <w:tcW w:w="1728" w:type="dxa"/>
            <w:vAlign w:val="center"/>
          </w:tcPr>
          <w:p w14:paraId="1E658A40">
            <w:pPr>
              <w:spacing w:after="0" w:line="240" w:lineRule="auto"/>
              <w:jc w:val="center"/>
            </w:pPr>
            <w:r>
              <w:rPr>
                <w:rFonts w:ascii="Times New Roman" w:hAnsi="Times New Roman" w:eastAsia="宋体"/>
                <w:b w:val="0"/>
                <w:sz w:val="17"/>
              </w:rPr>
              <w:t>0.6516</w:t>
            </w:r>
          </w:p>
        </w:tc>
        <w:tc>
          <w:tcPr>
            <w:tcW w:w="2304" w:type="dxa"/>
            <w:vAlign w:val="center"/>
          </w:tcPr>
          <w:p w14:paraId="12A03ADC">
            <w:pPr>
              <w:spacing w:after="0" w:line="240" w:lineRule="auto"/>
              <w:jc w:val="center"/>
            </w:pPr>
            <w:r>
              <w:rPr>
                <w:rFonts w:ascii="Times New Roman" w:hAnsi="Times New Roman" w:eastAsia="宋体"/>
                <w:b w:val="0"/>
                <w:sz w:val="17"/>
              </w:rPr>
              <w:t>0.0484</w:t>
            </w:r>
          </w:p>
        </w:tc>
        <w:tc>
          <w:tcPr>
            <w:tcW w:w="2016" w:type="dxa"/>
            <w:vAlign w:val="center"/>
          </w:tcPr>
          <w:p w14:paraId="6EAFF88E">
            <w:pPr>
              <w:spacing w:after="0" w:line="240" w:lineRule="auto"/>
              <w:jc w:val="center"/>
            </w:pPr>
            <w:r>
              <w:rPr>
                <w:rFonts w:ascii="Times New Roman" w:hAnsi="Times New Roman" w:eastAsia="宋体"/>
                <w:b w:val="0"/>
                <w:sz w:val="17"/>
              </w:rPr>
              <w:t>2105.4332</w:t>
            </w:r>
          </w:p>
        </w:tc>
      </w:tr>
    </w:tbl>
    <w:p w14:paraId="547EDB7D"/>
    <w:p w14:paraId="407097DD">
      <w:pPr>
        <w:pStyle w:val="10"/>
        <w:keepNext w:val="0"/>
        <w:keepLines w:val="0"/>
        <w:widowControl/>
        <w:suppressLineNumbers w:val="0"/>
        <w:ind w:firstLine="420" w:firstLineChars="0"/>
        <w:rPr>
          <w:rFonts w:ascii="宋体" w:hAnsi="宋体" w:eastAsia="宋体" w:cs="宋体"/>
          <w:sz w:val="24"/>
          <w:szCs w:val="24"/>
        </w:rPr>
      </w:pPr>
      <w:r>
        <w:rPr>
          <w:rFonts w:ascii="宋体" w:hAnsi="宋体" w:eastAsia="宋体" w:cs="宋体"/>
          <w:sz w:val="24"/>
          <w:szCs w:val="24"/>
        </w:rPr>
        <w:t xml:space="preserve">表 </w:t>
      </w:r>
      <w:r>
        <w:rPr>
          <w:rFonts w:hint="eastAsia" w:ascii="宋体" w:hAnsi="宋体" w:eastAsia="宋体" w:cs="宋体"/>
          <w:sz w:val="24"/>
          <w:szCs w:val="24"/>
          <w:lang w:val="en-US" w:eastAsia="zh-CN"/>
        </w:rPr>
        <w:t>3</w:t>
      </w:r>
      <w:r>
        <w:rPr>
          <w:rFonts w:ascii="宋体" w:hAnsi="宋体" w:eastAsia="宋体" w:cs="宋体"/>
          <w:sz w:val="24"/>
          <w:szCs w:val="24"/>
        </w:rPr>
        <w:t xml:space="preserve"> 展示了不同调参策略的主效应分析结果。结果显示，Baseline 的平均 eval_loss 为 0.6516，BOHB-best 为 0.7631，BOHB+NEFTune 为 0.8791。从平均表现来看，Baseline 反而取得较低的验证损失，说明 BOHB 和 NEFTune 并不在所有组合下都稳定优于基础配置。不过需要注意的是，在单组实验中，BOHB+NEFTune 对应的 T9 取得了全局最低 eval_loss，说明该策略在合适的数据规模和训练资源下仍然可能带来提升。因此，调参策略的效果具有明显的条件依赖性，不能脱离数据规模和训练资源单独判断。</w:t>
      </w:r>
    </w:p>
    <w:p w14:paraId="3D644471">
      <w:pPr>
        <w:jc w:val="center"/>
      </w:pPr>
      <w:r>
        <w:rPr>
          <w:rFonts w:ascii="Times New Roman" w:hAnsi="Times New Roman" w:eastAsia="黑体"/>
          <w:b/>
          <w:sz w:val="22"/>
        </w:rPr>
        <w:t>表 4 训练资源主效应分析</w:t>
      </w:r>
    </w:p>
    <w:tbl>
      <w:tblPr>
        <w:tblStyle w:val="1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440"/>
        <w:gridCol w:w="1728"/>
        <w:gridCol w:w="1728"/>
        <w:gridCol w:w="2304"/>
        <w:gridCol w:w="2016"/>
      </w:tblGrid>
      <w:tr w14:paraId="2AABA41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shd w:val="clear" w:color="auto" w:fill="D9EAF7"/>
            <w:vAlign w:val="center"/>
          </w:tcPr>
          <w:p w14:paraId="5B4AC388">
            <w:pPr>
              <w:spacing w:after="0" w:line="240" w:lineRule="auto"/>
              <w:jc w:val="center"/>
            </w:pPr>
            <w:r>
              <w:rPr>
                <w:rFonts w:ascii="Times New Roman" w:hAnsi="Times New Roman" w:eastAsia="宋体"/>
                <w:b/>
                <w:sz w:val="18"/>
              </w:rPr>
              <w:t>训练资源</w:t>
            </w:r>
          </w:p>
        </w:tc>
        <w:tc>
          <w:tcPr>
            <w:tcW w:w="1728" w:type="dxa"/>
            <w:shd w:val="clear" w:color="auto" w:fill="D9EAF7"/>
            <w:vAlign w:val="center"/>
          </w:tcPr>
          <w:p w14:paraId="588794E8">
            <w:pPr>
              <w:spacing w:after="0" w:line="240" w:lineRule="auto"/>
              <w:jc w:val="center"/>
            </w:pPr>
            <w:r>
              <w:rPr>
                <w:rFonts w:ascii="Times New Roman" w:hAnsi="Times New Roman" w:eastAsia="宋体"/>
                <w:b/>
                <w:sz w:val="18"/>
              </w:rPr>
              <w:t>平均 train_loss</w:t>
            </w:r>
          </w:p>
        </w:tc>
        <w:tc>
          <w:tcPr>
            <w:tcW w:w="1728" w:type="dxa"/>
            <w:shd w:val="clear" w:color="auto" w:fill="D9EAF7"/>
            <w:vAlign w:val="center"/>
          </w:tcPr>
          <w:p w14:paraId="4B1B9D8D">
            <w:pPr>
              <w:spacing w:after="0" w:line="240" w:lineRule="auto"/>
              <w:jc w:val="center"/>
            </w:pPr>
            <w:r>
              <w:rPr>
                <w:rFonts w:ascii="Times New Roman" w:hAnsi="Times New Roman" w:eastAsia="宋体"/>
                <w:b/>
                <w:sz w:val="18"/>
              </w:rPr>
              <w:t>平均 eval_loss</w:t>
            </w:r>
          </w:p>
        </w:tc>
        <w:tc>
          <w:tcPr>
            <w:tcW w:w="2304" w:type="dxa"/>
            <w:shd w:val="clear" w:color="auto" w:fill="D9EAF7"/>
            <w:vAlign w:val="center"/>
          </w:tcPr>
          <w:p w14:paraId="6A7C7DC2">
            <w:pPr>
              <w:spacing w:after="0" w:line="240" w:lineRule="auto"/>
              <w:jc w:val="center"/>
            </w:pPr>
            <w:r>
              <w:rPr>
                <w:rFonts w:ascii="Times New Roman" w:hAnsi="Times New Roman" w:eastAsia="宋体"/>
                <w:b/>
                <w:sz w:val="18"/>
              </w:rPr>
              <w:t>平均 generalization_gap</w:t>
            </w:r>
          </w:p>
        </w:tc>
        <w:tc>
          <w:tcPr>
            <w:tcW w:w="2016" w:type="dxa"/>
            <w:shd w:val="clear" w:color="auto" w:fill="D9EAF7"/>
            <w:vAlign w:val="center"/>
          </w:tcPr>
          <w:p w14:paraId="521282B4">
            <w:pPr>
              <w:spacing w:after="0" w:line="240" w:lineRule="auto"/>
              <w:jc w:val="center"/>
            </w:pPr>
            <w:r>
              <w:rPr>
                <w:rFonts w:ascii="Times New Roman" w:hAnsi="Times New Roman" w:eastAsia="宋体"/>
                <w:b/>
                <w:sz w:val="18"/>
              </w:rPr>
              <w:t>平均 train_runtime</w:t>
            </w:r>
          </w:p>
        </w:tc>
      </w:tr>
      <w:tr w14:paraId="7A7DFC6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vAlign w:val="center"/>
          </w:tcPr>
          <w:p w14:paraId="20C50961">
            <w:pPr>
              <w:spacing w:after="0" w:line="240" w:lineRule="auto"/>
              <w:jc w:val="center"/>
            </w:pPr>
            <w:r>
              <w:rPr>
                <w:rFonts w:ascii="Times New Roman" w:hAnsi="Times New Roman" w:eastAsia="宋体"/>
                <w:b w:val="0"/>
                <w:sz w:val="17"/>
              </w:rPr>
              <w:t>full</w:t>
            </w:r>
          </w:p>
        </w:tc>
        <w:tc>
          <w:tcPr>
            <w:tcW w:w="1728" w:type="dxa"/>
            <w:vAlign w:val="center"/>
          </w:tcPr>
          <w:p w14:paraId="024A2B8A">
            <w:pPr>
              <w:spacing w:after="0" w:line="240" w:lineRule="auto"/>
              <w:jc w:val="center"/>
            </w:pPr>
            <w:r>
              <w:rPr>
                <w:rFonts w:ascii="Times New Roman" w:hAnsi="Times New Roman" w:eastAsia="宋体"/>
                <w:b w:val="0"/>
                <w:sz w:val="17"/>
              </w:rPr>
              <w:t>0.4652</w:t>
            </w:r>
          </w:p>
        </w:tc>
        <w:tc>
          <w:tcPr>
            <w:tcW w:w="1728" w:type="dxa"/>
            <w:vAlign w:val="center"/>
          </w:tcPr>
          <w:p w14:paraId="5F0CF35E">
            <w:pPr>
              <w:spacing w:after="0" w:line="240" w:lineRule="auto"/>
              <w:jc w:val="center"/>
            </w:pPr>
            <w:r>
              <w:rPr>
                <w:rFonts w:ascii="Times New Roman" w:hAnsi="Times New Roman" w:eastAsia="宋体"/>
                <w:b w:val="0"/>
                <w:sz w:val="17"/>
              </w:rPr>
              <w:t>0.8757</w:t>
            </w:r>
          </w:p>
        </w:tc>
        <w:tc>
          <w:tcPr>
            <w:tcW w:w="2304" w:type="dxa"/>
            <w:vAlign w:val="center"/>
          </w:tcPr>
          <w:p w14:paraId="3EE661F2">
            <w:pPr>
              <w:spacing w:after="0" w:line="240" w:lineRule="auto"/>
              <w:jc w:val="center"/>
            </w:pPr>
            <w:r>
              <w:rPr>
                <w:rFonts w:ascii="Times New Roman" w:hAnsi="Times New Roman" w:eastAsia="宋体"/>
                <w:b w:val="0"/>
                <w:sz w:val="17"/>
              </w:rPr>
              <w:t>0.4105</w:t>
            </w:r>
          </w:p>
        </w:tc>
        <w:tc>
          <w:tcPr>
            <w:tcW w:w="2016" w:type="dxa"/>
            <w:vAlign w:val="center"/>
          </w:tcPr>
          <w:p w14:paraId="171B8A04">
            <w:pPr>
              <w:spacing w:after="0" w:line="240" w:lineRule="auto"/>
              <w:jc w:val="center"/>
            </w:pPr>
            <w:r>
              <w:rPr>
                <w:rFonts w:ascii="Times New Roman" w:hAnsi="Times New Roman" w:eastAsia="宋体"/>
                <w:b w:val="0"/>
                <w:sz w:val="17"/>
              </w:rPr>
              <w:t>3588.7778</w:t>
            </w:r>
          </w:p>
        </w:tc>
      </w:tr>
      <w:tr w14:paraId="41B679C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vAlign w:val="center"/>
          </w:tcPr>
          <w:p w14:paraId="23139AC7">
            <w:pPr>
              <w:spacing w:after="0" w:line="240" w:lineRule="auto"/>
              <w:jc w:val="center"/>
            </w:pPr>
            <w:r>
              <w:rPr>
                <w:rFonts w:ascii="Times New Roman" w:hAnsi="Times New Roman" w:eastAsia="宋体"/>
                <w:b w:val="0"/>
                <w:sz w:val="17"/>
              </w:rPr>
              <w:t>medium</w:t>
            </w:r>
          </w:p>
        </w:tc>
        <w:tc>
          <w:tcPr>
            <w:tcW w:w="1728" w:type="dxa"/>
            <w:vAlign w:val="center"/>
          </w:tcPr>
          <w:p w14:paraId="68B41C25">
            <w:pPr>
              <w:spacing w:after="0" w:line="240" w:lineRule="auto"/>
              <w:jc w:val="center"/>
            </w:pPr>
            <w:r>
              <w:rPr>
                <w:rFonts w:ascii="Times New Roman" w:hAnsi="Times New Roman" w:eastAsia="宋体"/>
                <w:b w:val="0"/>
                <w:sz w:val="17"/>
              </w:rPr>
              <w:t>0.6212</w:t>
            </w:r>
          </w:p>
        </w:tc>
        <w:tc>
          <w:tcPr>
            <w:tcW w:w="1728" w:type="dxa"/>
            <w:vAlign w:val="center"/>
          </w:tcPr>
          <w:p w14:paraId="0F8B9385">
            <w:pPr>
              <w:spacing w:after="0" w:line="240" w:lineRule="auto"/>
              <w:jc w:val="center"/>
            </w:pPr>
            <w:r>
              <w:rPr>
                <w:rFonts w:ascii="Times New Roman" w:hAnsi="Times New Roman" w:eastAsia="宋体"/>
                <w:b w:val="0"/>
                <w:sz w:val="17"/>
              </w:rPr>
              <w:t>0.7040</w:t>
            </w:r>
          </w:p>
        </w:tc>
        <w:tc>
          <w:tcPr>
            <w:tcW w:w="2304" w:type="dxa"/>
            <w:vAlign w:val="center"/>
          </w:tcPr>
          <w:p w14:paraId="7F2252B8">
            <w:pPr>
              <w:spacing w:after="0" w:line="240" w:lineRule="auto"/>
              <w:jc w:val="center"/>
            </w:pPr>
            <w:r>
              <w:rPr>
                <w:rFonts w:ascii="Times New Roman" w:hAnsi="Times New Roman" w:eastAsia="宋体"/>
                <w:b w:val="0"/>
                <w:sz w:val="17"/>
              </w:rPr>
              <w:t>0.0828</w:t>
            </w:r>
          </w:p>
        </w:tc>
        <w:tc>
          <w:tcPr>
            <w:tcW w:w="2016" w:type="dxa"/>
            <w:vAlign w:val="center"/>
          </w:tcPr>
          <w:p w14:paraId="7F0FDAF7">
            <w:pPr>
              <w:spacing w:after="0" w:line="240" w:lineRule="auto"/>
              <w:jc w:val="center"/>
            </w:pPr>
            <w:r>
              <w:rPr>
                <w:rFonts w:ascii="Times New Roman" w:hAnsi="Times New Roman" w:eastAsia="宋体"/>
                <w:b w:val="0"/>
                <w:sz w:val="17"/>
              </w:rPr>
              <w:t>2148.1335</w:t>
            </w:r>
          </w:p>
        </w:tc>
      </w:tr>
      <w:tr w14:paraId="61A61A1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40" w:type="dxa"/>
            <w:vAlign w:val="center"/>
          </w:tcPr>
          <w:p w14:paraId="7D1CE67E">
            <w:pPr>
              <w:spacing w:after="0" w:line="240" w:lineRule="auto"/>
              <w:jc w:val="center"/>
            </w:pPr>
            <w:r>
              <w:rPr>
                <w:rFonts w:ascii="Times New Roman" w:hAnsi="Times New Roman" w:eastAsia="宋体"/>
                <w:b w:val="0"/>
                <w:sz w:val="17"/>
              </w:rPr>
              <w:t>short</w:t>
            </w:r>
          </w:p>
        </w:tc>
        <w:tc>
          <w:tcPr>
            <w:tcW w:w="1728" w:type="dxa"/>
            <w:vAlign w:val="center"/>
          </w:tcPr>
          <w:p w14:paraId="48130F03">
            <w:pPr>
              <w:spacing w:after="0" w:line="240" w:lineRule="auto"/>
              <w:jc w:val="center"/>
            </w:pPr>
            <w:r>
              <w:rPr>
                <w:rFonts w:ascii="Times New Roman" w:hAnsi="Times New Roman" w:eastAsia="宋体"/>
                <w:b w:val="0"/>
                <w:sz w:val="17"/>
              </w:rPr>
              <w:t>0.9264</w:t>
            </w:r>
          </w:p>
        </w:tc>
        <w:tc>
          <w:tcPr>
            <w:tcW w:w="1728" w:type="dxa"/>
            <w:vAlign w:val="center"/>
          </w:tcPr>
          <w:p w14:paraId="34CACC9A">
            <w:pPr>
              <w:spacing w:after="0" w:line="240" w:lineRule="auto"/>
              <w:jc w:val="center"/>
            </w:pPr>
            <w:r>
              <w:rPr>
                <w:rFonts w:ascii="Times New Roman" w:hAnsi="Times New Roman" w:eastAsia="宋体"/>
                <w:b w:val="0"/>
                <w:sz w:val="17"/>
              </w:rPr>
              <w:t>0.7141</w:t>
            </w:r>
          </w:p>
        </w:tc>
        <w:tc>
          <w:tcPr>
            <w:tcW w:w="2304" w:type="dxa"/>
            <w:vAlign w:val="center"/>
          </w:tcPr>
          <w:p w14:paraId="676F8789">
            <w:pPr>
              <w:spacing w:after="0" w:line="240" w:lineRule="auto"/>
              <w:jc w:val="center"/>
            </w:pPr>
            <w:r>
              <w:rPr>
                <w:rFonts w:ascii="Times New Roman" w:hAnsi="Times New Roman" w:eastAsia="宋体"/>
                <w:b w:val="0"/>
                <w:sz w:val="17"/>
              </w:rPr>
              <w:t>-0.2123</w:t>
            </w:r>
          </w:p>
        </w:tc>
        <w:tc>
          <w:tcPr>
            <w:tcW w:w="2016" w:type="dxa"/>
            <w:vAlign w:val="center"/>
          </w:tcPr>
          <w:p w14:paraId="4161A626">
            <w:pPr>
              <w:spacing w:after="0" w:line="240" w:lineRule="auto"/>
              <w:jc w:val="center"/>
            </w:pPr>
            <w:r>
              <w:rPr>
                <w:rFonts w:ascii="Times New Roman" w:hAnsi="Times New Roman" w:eastAsia="宋体"/>
                <w:b w:val="0"/>
                <w:sz w:val="17"/>
              </w:rPr>
              <w:t>726.5807</w:t>
            </w:r>
          </w:p>
        </w:tc>
      </w:tr>
    </w:tbl>
    <w:p w14:paraId="4F39D58C">
      <w:pPr>
        <w:ind w:firstLine="420" w:firstLineChars="0"/>
        <w:rPr>
          <w:rFonts w:ascii="宋体" w:hAnsi="宋体" w:eastAsia="宋体" w:cs="宋体"/>
          <w:sz w:val="24"/>
          <w:szCs w:val="24"/>
        </w:rPr>
      </w:pPr>
    </w:p>
    <w:p w14:paraId="08D4E079">
      <w:pPr>
        <w:ind w:firstLine="420" w:firstLineChars="0"/>
        <w:rPr>
          <w:rFonts w:ascii="宋体" w:hAnsi="宋体" w:eastAsia="宋体" w:cs="宋体"/>
          <w:sz w:val="24"/>
          <w:szCs w:val="24"/>
        </w:rPr>
      </w:pPr>
      <w:r>
        <w:rPr>
          <w:rFonts w:ascii="宋体" w:hAnsi="宋体" w:eastAsia="宋体" w:cs="宋体"/>
          <w:sz w:val="24"/>
          <w:szCs w:val="24"/>
        </w:rPr>
        <w:t xml:space="preserve">表 </w:t>
      </w:r>
      <w:r>
        <w:rPr>
          <w:rFonts w:hint="eastAsia" w:ascii="宋体" w:hAnsi="宋体" w:eastAsia="宋体" w:cs="宋体"/>
          <w:sz w:val="24"/>
          <w:szCs w:val="24"/>
          <w:lang w:val="en-US" w:eastAsia="zh-CN"/>
        </w:rPr>
        <w:t>4</w:t>
      </w:r>
      <w:r>
        <w:rPr>
          <w:rFonts w:ascii="宋体" w:hAnsi="宋体" w:eastAsia="宋体" w:cs="宋体"/>
          <w:sz w:val="24"/>
          <w:szCs w:val="24"/>
        </w:rPr>
        <w:t xml:space="preserve"> 展示了训练资源的主效应分析结果。结果显示，medium 训练资源取得最低平均 eval_loss，为 0.7040；short 训练资源略高，为 0.7141；而 full 训练资源的平均 eval_loss 最高，为 0.8757。这说明在当前实验设置下，训练资源并非越多越好。适中的训练步数可能更有利于模型在训练成本和泛化能力之间取得平衡，而过长训练在部分配置下可能增加训练成本，却没有带来更好的验证集表现。因此，训练资源也是影响模型表现的重要因素，但其作用需要结合具体配置进行分析。</w:t>
      </w:r>
    </w:p>
    <w:p w14:paraId="356280B2">
      <w:pPr>
        <w:pStyle w:val="10"/>
        <w:keepNext w:val="0"/>
        <w:keepLines w:val="0"/>
        <w:widowControl/>
        <w:numPr>
          <w:ilvl w:val="0"/>
          <w:numId w:val="0"/>
        </w:numPr>
        <w:suppressLineNumbers w:val="0"/>
        <w:ind w:right="0" w:rightChars="0" w:firstLine="420" w:firstLineChars="0"/>
        <w:rPr>
          <w:rFonts w:ascii="宋体" w:hAnsi="宋体" w:eastAsia="宋体" w:cs="宋体"/>
          <w:sz w:val="24"/>
          <w:szCs w:val="24"/>
        </w:rPr>
      </w:pPr>
      <w:r>
        <w:rPr>
          <w:rFonts w:ascii="宋体" w:hAnsi="宋体" w:eastAsia="宋体" w:cs="宋体"/>
          <w:sz w:val="24"/>
          <w:szCs w:val="24"/>
        </w:rPr>
        <w:t>综合 Taguchi L9 正交实验结果可以看出，三个因素对模型表现的影响并不相同。其中，数据规模的影响最明显，100% 数据规模整体表现最好，而 30% 数据规模明显不足；训练资源的影响次之，medium 训练资源在平均验证损失上表现最佳，说明适中的训练预算更有利于当前任务；调参策略的作用则具有较强条件依赖性，虽然 BOHB+NEFTune 的平均表现并非最优，但其在 T9 组合中取得了最低 eval_loss，说明高级调参策略需要在合适的数据规模和训练资源下才能充分发挥作用。因此，本实验中影响模型表现的重要性大致可以概括为：数据规模最重要，其次是训练资源，调参策略则需要结合具体实验条件进行判断。</w:t>
      </w:r>
    </w:p>
    <w:p w14:paraId="42EBB399">
      <w:pPr>
        <w:jc w:val="center"/>
      </w:pPr>
      <w:r>
        <w:rPr>
          <w:rFonts w:ascii="Times New Roman" w:hAnsi="Times New Roman" w:eastAsia="黑体"/>
          <w:b/>
          <w:sz w:val="22"/>
        </w:rPr>
        <w:t>表 5 因素重要性总结</w:t>
      </w:r>
    </w:p>
    <w:tbl>
      <w:tblPr>
        <w:tblStyle w:val="12"/>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036"/>
        <w:gridCol w:w="1139"/>
        <w:gridCol w:w="7815"/>
      </w:tblGrid>
      <w:tr w14:paraId="4E1D7C8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96" w:type="dxa"/>
            <w:shd w:val="clear" w:color="auto" w:fill="D9EAF7"/>
            <w:vAlign w:val="center"/>
          </w:tcPr>
          <w:p w14:paraId="668471F5">
            <w:pPr>
              <w:spacing w:after="0" w:line="240" w:lineRule="auto"/>
              <w:jc w:val="center"/>
            </w:pPr>
            <w:r>
              <w:rPr>
                <w:rFonts w:ascii="Times New Roman" w:hAnsi="Times New Roman" w:eastAsia="宋体"/>
                <w:b/>
                <w:sz w:val="18"/>
              </w:rPr>
              <w:t>重要性排序</w:t>
            </w:r>
          </w:p>
        </w:tc>
        <w:tc>
          <w:tcPr>
            <w:tcW w:w="1440" w:type="dxa"/>
            <w:shd w:val="clear" w:color="auto" w:fill="D9EAF7"/>
            <w:vAlign w:val="center"/>
          </w:tcPr>
          <w:p w14:paraId="1B913A44">
            <w:pPr>
              <w:spacing w:after="0" w:line="240" w:lineRule="auto"/>
              <w:jc w:val="center"/>
            </w:pPr>
            <w:r>
              <w:rPr>
                <w:rFonts w:ascii="Times New Roman" w:hAnsi="Times New Roman" w:eastAsia="宋体"/>
                <w:b/>
                <w:sz w:val="18"/>
              </w:rPr>
              <w:t>因素</w:t>
            </w:r>
          </w:p>
        </w:tc>
        <w:tc>
          <w:tcPr>
            <w:tcW w:w="10368" w:type="dxa"/>
            <w:shd w:val="clear" w:color="auto" w:fill="D9EAF7"/>
            <w:vAlign w:val="center"/>
          </w:tcPr>
          <w:p w14:paraId="4DC6D67F">
            <w:pPr>
              <w:spacing w:after="0" w:line="240" w:lineRule="auto"/>
              <w:jc w:val="center"/>
            </w:pPr>
            <w:r>
              <w:rPr>
                <w:rFonts w:ascii="Times New Roman" w:hAnsi="Times New Roman" w:eastAsia="宋体"/>
                <w:b/>
                <w:sz w:val="18"/>
              </w:rPr>
              <w:t>结论</w:t>
            </w:r>
          </w:p>
        </w:tc>
      </w:tr>
      <w:tr w14:paraId="1FE1F18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96" w:type="dxa"/>
            <w:vAlign w:val="center"/>
          </w:tcPr>
          <w:p w14:paraId="29D1B4F5">
            <w:pPr>
              <w:spacing w:after="0" w:line="240" w:lineRule="auto"/>
              <w:jc w:val="center"/>
            </w:pPr>
            <w:r>
              <w:rPr>
                <w:rFonts w:ascii="Times New Roman" w:hAnsi="Times New Roman" w:eastAsia="宋体"/>
                <w:b w:val="0"/>
                <w:sz w:val="18"/>
              </w:rPr>
              <w:t>1</w:t>
            </w:r>
          </w:p>
        </w:tc>
        <w:tc>
          <w:tcPr>
            <w:tcW w:w="1440" w:type="dxa"/>
            <w:vAlign w:val="center"/>
          </w:tcPr>
          <w:p w14:paraId="40FA35DA">
            <w:pPr>
              <w:spacing w:after="0" w:line="240" w:lineRule="auto"/>
              <w:jc w:val="center"/>
            </w:pPr>
            <w:r>
              <w:rPr>
                <w:rFonts w:ascii="Times New Roman" w:hAnsi="Times New Roman" w:eastAsia="宋体"/>
                <w:b w:val="0"/>
                <w:sz w:val="18"/>
              </w:rPr>
              <w:t>数据规模</w:t>
            </w:r>
          </w:p>
        </w:tc>
        <w:tc>
          <w:tcPr>
            <w:tcW w:w="10368" w:type="dxa"/>
            <w:vAlign w:val="center"/>
          </w:tcPr>
          <w:p w14:paraId="2999997D">
            <w:pPr>
              <w:spacing w:after="0" w:line="240" w:lineRule="auto"/>
              <w:jc w:val="left"/>
            </w:pPr>
            <w:r>
              <w:rPr>
                <w:rFonts w:ascii="Times New Roman" w:hAnsi="Times New Roman" w:eastAsia="宋体"/>
                <w:b w:val="0"/>
                <w:sz w:val="18"/>
              </w:rPr>
              <w:t>100% 数据规模平均 eval_loss 最低；30% 明显较差，说明样本量是主要影响因素。</w:t>
            </w:r>
          </w:p>
        </w:tc>
      </w:tr>
      <w:tr w14:paraId="3754D00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96" w:type="dxa"/>
            <w:vAlign w:val="center"/>
          </w:tcPr>
          <w:p w14:paraId="58E92519">
            <w:pPr>
              <w:spacing w:after="0" w:line="240" w:lineRule="auto"/>
              <w:jc w:val="center"/>
            </w:pPr>
            <w:r>
              <w:rPr>
                <w:rFonts w:ascii="Times New Roman" w:hAnsi="Times New Roman" w:eastAsia="宋体"/>
                <w:b w:val="0"/>
                <w:sz w:val="18"/>
              </w:rPr>
              <w:t>2</w:t>
            </w:r>
          </w:p>
        </w:tc>
        <w:tc>
          <w:tcPr>
            <w:tcW w:w="1440" w:type="dxa"/>
            <w:vAlign w:val="center"/>
          </w:tcPr>
          <w:p w14:paraId="5566FA3A">
            <w:pPr>
              <w:spacing w:after="0" w:line="240" w:lineRule="auto"/>
              <w:jc w:val="center"/>
            </w:pPr>
            <w:r>
              <w:rPr>
                <w:rFonts w:ascii="Times New Roman" w:hAnsi="Times New Roman" w:eastAsia="宋体"/>
                <w:b w:val="0"/>
                <w:sz w:val="18"/>
              </w:rPr>
              <w:t>训练资源</w:t>
            </w:r>
          </w:p>
        </w:tc>
        <w:tc>
          <w:tcPr>
            <w:tcW w:w="10368" w:type="dxa"/>
            <w:vAlign w:val="center"/>
          </w:tcPr>
          <w:p w14:paraId="70F328EA">
            <w:pPr>
              <w:spacing w:after="0" w:line="240" w:lineRule="auto"/>
              <w:jc w:val="left"/>
            </w:pPr>
            <w:r>
              <w:rPr>
                <w:rFonts w:ascii="Times New Roman" w:hAnsi="Times New Roman" w:eastAsia="宋体"/>
                <w:b w:val="0"/>
                <w:sz w:val="18"/>
              </w:rPr>
              <w:t>medium 平均 eval_loss 最低；full 未稳定带来更好表现，说明训练资源存在适中区间。</w:t>
            </w:r>
          </w:p>
        </w:tc>
      </w:tr>
      <w:tr w14:paraId="252B1D1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96" w:type="dxa"/>
            <w:vAlign w:val="center"/>
          </w:tcPr>
          <w:p w14:paraId="5C919D9D">
            <w:pPr>
              <w:spacing w:after="0" w:line="240" w:lineRule="auto"/>
              <w:jc w:val="center"/>
            </w:pPr>
            <w:r>
              <w:rPr>
                <w:rFonts w:ascii="Times New Roman" w:hAnsi="Times New Roman" w:eastAsia="宋体"/>
                <w:b w:val="0"/>
                <w:sz w:val="18"/>
              </w:rPr>
              <w:t>3</w:t>
            </w:r>
          </w:p>
        </w:tc>
        <w:tc>
          <w:tcPr>
            <w:tcW w:w="1440" w:type="dxa"/>
            <w:vAlign w:val="center"/>
          </w:tcPr>
          <w:p w14:paraId="72122205">
            <w:pPr>
              <w:spacing w:after="0" w:line="240" w:lineRule="auto"/>
              <w:jc w:val="center"/>
            </w:pPr>
            <w:r>
              <w:rPr>
                <w:rFonts w:ascii="Times New Roman" w:hAnsi="Times New Roman" w:eastAsia="宋体"/>
                <w:b w:val="0"/>
                <w:sz w:val="18"/>
              </w:rPr>
              <w:t>调参策略</w:t>
            </w:r>
          </w:p>
        </w:tc>
        <w:tc>
          <w:tcPr>
            <w:tcW w:w="10368" w:type="dxa"/>
            <w:vAlign w:val="center"/>
          </w:tcPr>
          <w:p w14:paraId="5026637C">
            <w:pPr>
              <w:spacing w:after="0" w:line="240" w:lineRule="auto"/>
              <w:jc w:val="left"/>
            </w:pPr>
            <w:r>
              <w:rPr>
                <w:rFonts w:ascii="Times New Roman" w:hAnsi="Times New Roman" w:eastAsia="宋体"/>
                <w:b w:val="0"/>
                <w:sz w:val="18"/>
              </w:rPr>
              <w:t>Baseline 平均表现较稳定；但 T9 表明 BOHB+NEFTune 在合适组合下可取得单组最优。</w:t>
            </w:r>
          </w:p>
        </w:tc>
      </w:tr>
    </w:tbl>
    <w:p w14:paraId="740D8FBB">
      <w:pPr>
        <w:jc w:val="left"/>
      </w:pPr>
      <w:r>
        <w:rPr>
          <w:sz w:val="18"/>
        </w:rPr>
        <w:t>注：generalization_gap = eval_loss - train_loss；表中数值保留四位小数。</w:t>
      </w:r>
    </w:p>
    <w:p w14:paraId="3E558E41">
      <w:pPr>
        <w:pStyle w:val="10"/>
        <w:keepNext w:val="0"/>
        <w:keepLines w:val="0"/>
        <w:widowControl/>
        <w:numPr>
          <w:ilvl w:val="0"/>
          <w:numId w:val="0"/>
        </w:numPr>
        <w:suppressLineNumbers w:val="0"/>
        <w:ind w:right="0" w:rightChars="0" w:firstLine="420" w:firstLineChars="0"/>
        <w:rPr>
          <w:rFonts w:hint="default" w:ascii="宋体" w:hAnsi="宋体" w:eastAsia="宋体" w:cs="宋体"/>
          <w:sz w:val="24"/>
          <w:szCs w:val="24"/>
          <w:lang w:val="en-US" w:eastAsia="zh-CN"/>
        </w:rPr>
      </w:pPr>
    </w:p>
    <w:p w14:paraId="7B17149D">
      <w:pPr>
        <w:rPr>
          <w:rFonts w:hint="default" w:ascii="宋体" w:hAnsi="宋体" w:eastAsia="宋体" w:cs="宋体"/>
          <w:b w:val="0"/>
          <w:bCs w:val="0"/>
          <w:sz w:val="24"/>
          <w:szCs w:val="24"/>
          <w:lang w:val="en-US" w:eastAsia="zh-CN"/>
        </w:rPr>
      </w:pPr>
    </w:p>
    <w:p w14:paraId="5FE74E5C">
      <w:pPr>
        <w:pStyle w:val="2"/>
        <w:bidi w:val="0"/>
        <w:rPr>
          <w:rFonts w:hint="eastAsia"/>
          <w:lang w:val="en-US" w:eastAsia="zh-CN"/>
        </w:rPr>
      </w:pPr>
      <w:bookmarkStart w:id="60" w:name="_Toc27671"/>
      <w:bookmarkStart w:id="61" w:name="_Toc11865"/>
      <w:r>
        <w:rPr>
          <w:rFonts w:hint="eastAsia"/>
          <w:lang w:val="en-US" w:eastAsia="zh-CN"/>
        </w:rPr>
        <w:t>参考文献</w:t>
      </w:r>
      <w:bookmarkEnd w:id="60"/>
      <w:bookmarkEnd w:id="61"/>
    </w:p>
    <w:p w14:paraId="79BBB883">
      <w:pPr>
        <w:numPr>
          <w:ilvl w:val="0"/>
          <w:numId w:val="3"/>
        </w:num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Falkner S, Klein A, Hutter F. BOHB: Robust and Efficient Hyperparameter Optimization at Scale[C]//Proceedings of the 35th International Conference on Machine Learning. Stockholm, Sweden: PMLR, 2018, 80: 1437-1446.</w:t>
      </w:r>
    </w:p>
    <w:p w14:paraId="754A9716">
      <w:pPr>
        <w:pStyle w:val="2"/>
        <w:bidi w:val="0"/>
        <w:rPr>
          <w:rFonts w:hint="eastAsia"/>
          <w:lang w:val="en-US" w:eastAsia="zh-CN"/>
        </w:rPr>
      </w:pPr>
      <w:bookmarkStart w:id="62" w:name="_Toc14868"/>
      <w:r>
        <w:rPr>
          <w:rFonts w:hint="eastAsia"/>
          <w:lang w:val="en-US" w:eastAsia="zh-CN"/>
        </w:rPr>
        <w:t>小组成员及分工</w:t>
      </w:r>
      <w:bookmarkEnd w:id="62"/>
    </w:p>
    <w:p w14:paraId="5C4393A2">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吴炎彤 </w:t>
      </w:r>
      <w:r>
        <w:rPr>
          <w:rFonts w:hint="eastAsia" w:ascii="宋体" w:hAnsi="宋体" w:eastAsia="宋体" w:cs="宋体"/>
          <w:sz w:val="24"/>
          <w:szCs w:val="28"/>
          <w:lang w:val="en-US" w:eastAsia="zh-CN"/>
        </w:rPr>
        <w:t>数据采集与清洗</w:t>
      </w:r>
    </w:p>
    <w:p w14:paraId="1802AA4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李明泽 </w:t>
      </w:r>
      <w:r>
        <w:rPr>
          <w:rStyle w:val="16"/>
          <w:rFonts w:hint="eastAsia" w:ascii="宋体" w:hAnsi="宋体" w:eastAsia="宋体" w:cs="宋体"/>
          <w:b w:val="0"/>
          <w:bCs w:val="0"/>
          <w:color w:val="1B1B1E"/>
          <w:sz w:val="24"/>
          <w:szCs w:val="24"/>
        </w:rPr>
        <w:t>监督微调数据集</w:t>
      </w:r>
      <w:r>
        <w:rPr>
          <w:rStyle w:val="16"/>
          <w:rFonts w:hint="eastAsia" w:ascii="宋体" w:hAnsi="宋体" w:eastAsia="宋体" w:cs="宋体"/>
          <w:b w:val="0"/>
          <w:bCs w:val="0"/>
          <w:color w:val="1B1B1E"/>
          <w:sz w:val="24"/>
          <w:szCs w:val="24"/>
          <w:lang w:val="en-US" w:eastAsia="zh-CN"/>
        </w:rPr>
        <w:t>构建</w:t>
      </w:r>
    </w:p>
    <w:p w14:paraId="60B5A4A8">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陆冠行 </w:t>
      </w:r>
      <w:r>
        <w:rPr>
          <w:rFonts w:ascii="Arial" w:hAnsi="Arial" w:eastAsia="宋体" w:cs="Arial"/>
          <w:b w:val="0"/>
          <w:bCs w:val="0"/>
          <w:color w:val="1F1F1F"/>
          <w:kern w:val="0"/>
          <w:sz w:val="24"/>
          <w14:ligatures w14:val="none"/>
        </w:rPr>
        <w:t>模型训练与评测</w:t>
      </w:r>
    </w:p>
    <w:p w14:paraId="0A687C5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陈泳伶 PPT制作和报告，超参数选取与调优，比较与消融实验</w:t>
      </w:r>
    </w:p>
    <w:sectPr>
      <w:pgSz w:w="11906" w:h="16838"/>
      <w:pgMar w:top="1157" w:right="1066" w:bottom="1157" w:left="1066"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dolSong-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体">
    <w:altName w:val="Times New Roman"/>
    <w:panose1 w:val="00000000000000000000"/>
    <w:charset w:val="00"/>
    <w:family w:val="auto"/>
    <w:pitch w:val="default"/>
    <w:sig w:usb0="00000000" w:usb1="00000000" w:usb2="00000000" w:usb3="00000000" w:csb0="00000000" w:csb1="00000000"/>
  </w:font>
  <w:font w:name="体送">
    <w:altName w:val="Times New Roman"/>
    <w:panose1 w:val="00000000000000000000"/>
    <w:charset w:val="00"/>
    <w:family w:val="auto"/>
    <w:pitch w:val="default"/>
    <w:sig w:usb0="00000000" w:usb1="00000000" w:usb2="00000000" w:usb3="00000000" w:csb0="00000000" w:csb1="00000000"/>
  </w:font>
  <w:font w:name="+西文标题">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C5A4A"/>
    <w:multiLevelType w:val="singleLevel"/>
    <w:tmpl w:val="975C5A4A"/>
    <w:lvl w:ilvl="0" w:tentative="0">
      <w:start w:val="1"/>
      <w:numFmt w:val="chineseCounting"/>
      <w:lvlText w:val="(%1)"/>
      <w:lvlJc w:val="left"/>
      <w:pPr>
        <w:tabs>
          <w:tab w:val="left" w:pos="312"/>
        </w:tabs>
      </w:pPr>
      <w:rPr>
        <w:rFonts w:hint="eastAsia"/>
      </w:rPr>
    </w:lvl>
  </w:abstractNum>
  <w:abstractNum w:abstractNumId="1">
    <w:nsid w:val="BEF30414"/>
    <w:multiLevelType w:val="singleLevel"/>
    <w:tmpl w:val="BEF30414"/>
    <w:lvl w:ilvl="0" w:tentative="0">
      <w:start w:val="1"/>
      <w:numFmt w:val="decimal"/>
      <w:suff w:val="space"/>
      <w:lvlText w:val="%1."/>
      <w:lvlJc w:val="left"/>
      <w:rPr>
        <w:rFonts w:hint="default"/>
        <w:b w:val="0"/>
        <w:bCs w:val="0"/>
      </w:rPr>
    </w:lvl>
  </w:abstractNum>
  <w:abstractNum w:abstractNumId="2">
    <w:nsid w:val="0F91B8AA"/>
    <w:multiLevelType w:val="singleLevel"/>
    <w:tmpl w:val="0F91B8AA"/>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F55751"/>
    <w:rsid w:val="09101CE5"/>
    <w:rsid w:val="0E3E1F17"/>
    <w:rsid w:val="0EBB3568"/>
    <w:rsid w:val="111B6540"/>
    <w:rsid w:val="14107EB2"/>
    <w:rsid w:val="1B7E1BA5"/>
    <w:rsid w:val="27082C6B"/>
    <w:rsid w:val="2AE47A9C"/>
    <w:rsid w:val="2F511653"/>
    <w:rsid w:val="3508377C"/>
    <w:rsid w:val="358A766C"/>
    <w:rsid w:val="41E225DE"/>
    <w:rsid w:val="429A4C67"/>
    <w:rsid w:val="43790D20"/>
    <w:rsid w:val="463669E3"/>
    <w:rsid w:val="4F0C0C9A"/>
    <w:rsid w:val="52182DC9"/>
    <w:rsid w:val="541C1980"/>
    <w:rsid w:val="543B3DF8"/>
    <w:rsid w:val="5CFA4828"/>
    <w:rsid w:val="602C2F4B"/>
    <w:rsid w:val="62620EA5"/>
    <w:rsid w:val="6AA06A0F"/>
    <w:rsid w:val="6D8343C6"/>
    <w:rsid w:val="74C4779E"/>
    <w:rsid w:val="78362761"/>
    <w:rsid w:val="798B6ADC"/>
    <w:rsid w:val="7A6F1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黑体" w:hAnsi="黑体" w:eastAsia="黑体" w:cstheme="minorBidi"/>
      <w:color w:val="000000"/>
      <w:sz w:val="21"/>
      <w:szCs w:val="22"/>
      <w:lang w:val="en-US" w:eastAsia="en-US" w:bidi="ar-SA"/>
    </w:rPr>
  </w:style>
  <w:style w:type="paragraph" w:styleId="2">
    <w:name w:val="heading 1"/>
    <w:basedOn w:val="1"/>
    <w:next w:val="1"/>
    <w:link w:val="22"/>
    <w:qFormat/>
    <w:uiPriority w:val="0"/>
    <w:pPr>
      <w:keepNext/>
      <w:keepLines/>
      <w:spacing w:before="340" w:beforeLines="0" w:beforeAutospacing="0" w:after="330" w:afterLines="0" w:afterAutospacing="0" w:line="576" w:lineRule="auto"/>
      <w:outlineLvl w:val="0"/>
    </w:pPr>
    <w:rPr>
      <w:rFonts w:eastAsia="宋体"/>
      <w:b/>
      <w:kern w:val="44"/>
      <w:sz w:val="36"/>
    </w:rPr>
  </w:style>
  <w:style w:type="paragraph" w:styleId="3">
    <w:name w:val="heading 2"/>
    <w:basedOn w:val="1"/>
    <w:next w:val="1"/>
    <w:link w:val="21"/>
    <w:unhideWhenUsed/>
    <w:qFormat/>
    <w:uiPriority w:val="0"/>
    <w:pPr>
      <w:keepNext/>
      <w:keepLines/>
      <w:spacing w:before="260" w:beforeLines="0" w:beforeAutospacing="0" w:after="260" w:afterLines="0" w:afterAutospacing="0" w:line="413" w:lineRule="auto"/>
      <w:outlineLvl w:val="1"/>
    </w:pPr>
    <w:rPr>
      <w:rFonts w:ascii="Arial" w:hAnsi="Arial" w:eastAsia="宋体"/>
      <w:b/>
      <w:sz w:val="32"/>
    </w:rPr>
  </w:style>
  <w:style w:type="paragraph" w:styleId="4">
    <w:name w:val="heading 3"/>
    <w:basedOn w:val="1"/>
    <w:next w:val="1"/>
    <w:unhideWhenUsed/>
    <w:qFormat/>
    <w:uiPriority w:val="9"/>
    <w:pPr>
      <w:keepNext/>
      <w:keepLines/>
      <w:spacing w:before="160" w:after="80"/>
      <w:outlineLvl w:val="2"/>
    </w:pPr>
    <w:rPr>
      <w:rFonts w:eastAsia="宋体" w:asciiTheme="majorAscii" w:hAnsiTheme="majorAscii" w:cstheme="majorBidi"/>
      <w:b/>
      <w:color w:val="000000" w:themeColor="text1"/>
      <w:sz w:val="28"/>
      <w:szCs w:val="32"/>
      <w14:textFill>
        <w14:solidFill>
          <w14:schemeClr w14:val="tx1"/>
        </w14:solidFill>
      </w14:textFill>
    </w:rPr>
  </w:style>
  <w:style w:type="paragraph" w:styleId="5">
    <w:name w:val="heading 4"/>
    <w:basedOn w:val="1"/>
    <w:next w:val="1"/>
    <w:semiHidden/>
    <w:unhideWhenUsed/>
    <w:qFormat/>
    <w:uiPriority w:val="9"/>
    <w:pPr>
      <w:keepNext/>
      <w:keepLines/>
      <w:spacing w:before="80" w:after="40"/>
      <w:outlineLvl w:val="3"/>
    </w:pPr>
    <w:rPr>
      <w:rFonts w:cstheme="majorBidi"/>
      <w:color w:val="2E54A1" w:themeColor="accent1" w:themeShade="BF"/>
      <w:sz w:val="28"/>
      <w:szCs w:val="28"/>
    </w:rPr>
  </w:style>
  <w:style w:type="character" w:default="1" w:styleId="13">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before="180" w:after="180"/>
    </w:pPr>
  </w:style>
  <w:style w:type="paragraph" w:styleId="7">
    <w:name w:val="toc 3"/>
    <w:basedOn w:val="1"/>
    <w:next w:val="1"/>
    <w:uiPriority w:val="0"/>
    <w:pPr>
      <w:ind w:left="840" w:leftChars="400"/>
    </w:p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character" w:customStyle="1" w:styleId="16">
    <w:name w:val="ng-star-inserted"/>
    <w:basedOn w:val="13"/>
    <w:qFormat/>
    <w:uiPriority w:val="0"/>
  </w:style>
  <w:style w:type="paragraph" w:customStyle="1" w:styleId="17">
    <w:name w:val="ng-star-inserted1"/>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character" w:customStyle="1" w:styleId="18">
    <w:name w:val="inline-code"/>
    <w:basedOn w:val="13"/>
    <w:qFormat/>
    <w:uiPriority w:val="0"/>
  </w:style>
  <w:style w:type="character" w:customStyle="1" w:styleId="19">
    <w:name w:val="katex-mathml"/>
    <w:basedOn w:val="13"/>
    <w:qFormat/>
    <w:uiPriority w:val="0"/>
  </w:style>
  <w:style w:type="paragraph" w:customStyle="1" w:styleId="20">
    <w:name w:val="First Paragraph"/>
    <w:basedOn w:val="6"/>
    <w:next w:val="6"/>
    <w:qFormat/>
    <w:uiPriority w:val="0"/>
  </w:style>
  <w:style w:type="character" w:customStyle="1" w:styleId="21">
    <w:name w:val="标题 2 Char"/>
    <w:link w:val="3"/>
    <w:uiPriority w:val="0"/>
    <w:rPr>
      <w:rFonts w:ascii="Arial" w:hAnsi="Arial" w:eastAsia="宋体"/>
      <w:b/>
      <w:sz w:val="32"/>
    </w:rPr>
  </w:style>
  <w:style w:type="character" w:customStyle="1" w:styleId="22">
    <w:name w:val="标题 1 Char"/>
    <w:link w:val="2"/>
    <w:uiPriority w:val="0"/>
    <w:rPr>
      <w:rFonts w:eastAsia="宋体"/>
      <w:b/>
      <w:kern w:val="44"/>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2026-07-03T09:57:13Z</dcterms:created>
  <dc:creator>Yuri</dc:creator>
  <cp:lastModifiedBy>犇犇</cp:lastModifiedBy>
  <dcterms:modified xsi:type="dcterms:W3CDTF">2026-07-03T11:21:22Z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eyJoZGlkIjoiNjc5Y2M1NjZlZTY5NDYzMTQwMTE4MjIyNmRlNDQxMzAiLCJ1c2VySWQiOiIxMzMxMTYxOTkwIn0=</vt:lpwstr>
  </property>
  <property fmtid="{D5CDD505-2E9C-101B-9397-08002B2CF9AE}" pid="4" name="ICV">
    <vt:lpwstr>994F0298DFCE4E3AA5E1F787C4200B12_12</vt:lpwstr>
  </property>
</Properties>
</file>