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 w:line="240" w:lineRule="auto"/>
        <w:jc w:val="center"/>
      </w:pPr>
      <w:r>
        <w:rPr>
          <w:rFonts w:ascii="Arial Unicode MS" w:hAnsi="Arial Unicode MS" w:eastAsia="Arial Unicode MS"/>
          <w:b/>
          <w:color w:val="2F6B47"/>
          <w:sz w:val="20"/>
        </w:rPr>
        <w:t>PRODUCT / UI HANDOFF</w:t>
      </w:r>
    </w:p>
    <w:p>
      <w:pPr>
        <w:spacing w:before="0" w:after="100" w:line="240" w:lineRule="auto"/>
        <w:jc w:val="center"/>
      </w:pPr>
      <w:r>
        <w:rPr>
          <w:rFonts w:ascii="Arial Unicode MS" w:hAnsi="Arial Unicode MS" w:eastAsia="Arial Unicode MS"/>
          <w:b/>
          <w:color w:val="202421"/>
          <w:sz w:val="60"/>
        </w:rPr>
        <w:t>Signal Desk</w:t>
      </w:r>
    </w:p>
    <w:p>
      <w:pPr>
        <w:spacing w:before="0" w:after="360" w:line="240" w:lineRule="auto"/>
        <w:jc w:val="center"/>
      </w:pPr>
      <w:r>
        <w:rPr>
          <w:rFonts w:ascii="Arial Unicode MS" w:hAnsi="Arial Unicode MS" w:eastAsia="Arial Unicode MS"/>
          <w:color w:val="315F78"/>
          <w:sz w:val="30"/>
        </w:rPr>
        <w:t>Crypto Intelligence Agent V2 · 官网 UI 设计素材包</w:t>
      </w:r>
    </w:p>
    <w:p>
      <w:pPr>
        <w:spacing w:before="0" w:after="480" w:line="300" w:lineRule="auto"/>
        <w:jc w:val="center"/>
      </w:pPr>
      <w:r>
        <w:rPr>
          <w:rFonts w:ascii="Arial Unicode MS" w:hAnsi="Arial Unicode MS" w:eastAsia="Arial Unicode MS"/>
          <w:i/>
          <w:color w:val="303632"/>
          <w:sz w:val="24"/>
        </w:rPr>
        <w:t>把行情、证据和风险门禁，放进同一个人工决策工作台。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8F9F6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版本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2026-07-17（Asia/Shanghai）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8F9F6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交付对象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官网 UI、品牌、内容、交互设计团队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8F9F6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当前事实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以 backend/ + frontend/ V2 工作树为准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8F9F6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证据口径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代码事实 / 规范设计 / 设计建议 / 本地截图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8F9F6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发布边界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manual-only；不自动交易；V2 当前仍非 production ready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3EC" w:val="clear"/>
            <w:tcBorders>
              <w:top w:val="single" w:sz="8" w:space="0" w:color="2F6B47"/>
              <w:left w:val="single" w:sz="8" w:space="0" w:color="2F6B47"/>
              <w:bottom w:val="single" w:sz="8" w:space="0" w:color="2F6B47"/>
              <w:right w:val="single" w:sz="8" w:space="0" w:color="2F6B47"/>
              <w:insideH w:val="single" w:sz="8" w:space="0" w:color="2F6B47"/>
              <w:insideV w:val="single" w:sz="8" w:space="0" w:color="2F6B47"/>
            </w:tcBorders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2F6B47"/>
                <w:sz w:val="21"/>
              </w:rPr>
              <w:t xml:space="preserve">先读结论  </w:t>
            </w:r>
            <w:r>
              <w:rPr>
                <w:rFonts w:ascii="Arial Unicode MS" w:hAnsi="Arial Unicode MS" w:eastAsia="Arial Unicode MS"/>
                <w:color w:val="303632"/>
                <w:sz w:val="21"/>
              </w:rPr>
              <w:t>当前仓库提供的是内部工作台现状与 V2 目标设计，不是已经完成商业化上线的官网。官网文案应始终保留人工确认、只读行情、证据可追溯和失败明确可见的边界。</w:t>
            </w:r>
          </w:p>
        </w:tc>
      </w:tr>
    </w:tbl>
    <w:p>
      <w:pPr>
        <w:spacing w:before="0" w:after="100" w:line="240" w:lineRule="auto"/>
      </w:pPr>
    </w:p>
    <w:p>
      <w:r>
        <w:br w:type="page"/>
      </w:r>
    </w:p>
    <w:p>
      <w:pPr>
        <w:pStyle w:val="Heading2"/>
        <w:spacing w:before="280" w:after="140" w:line="276" w:lineRule="auto"/>
      </w:pPr>
      <w:r>
        <w:rPr>
          <w:rFonts w:ascii="Arial Unicode MS" w:hAnsi="Arial Unicode MS" w:eastAsia="Arial Unicode MS"/>
          <w:color w:val="315F78"/>
          <w:sz w:val="26"/>
        </w:rPr>
        <w:t>1. 产品一句话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1.1 当前产品定位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303632"/>
          <w:sz w:val="21"/>
        </w:rPr>
        <w:t>Signal Desk 是一个面向加密市场用户的人工决策辅助工作空间：系统把交易所行情、Web 研究证据、结构化分析、证据门禁和风险门禁组织在同一条可追溯链路中，帮助用户在手动执行前完成复核。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1.2 永久边界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系统可以研究、分析、提醒、记录和复盘，但</w:t>
      </w:r>
      <w:r>
        <w:rPr>
          <w:rFonts w:ascii="Arial Unicode MS" w:hAnsi="Arial Unicode MS" w:eastAsia="Arial Unicode MS"/>
          <w:b/>
          <w:color w:val="202421"/>
          <w:sz w:val="20"/>
        </w:rPr>
        <w:t>不自动下单、撤单、平仓、转账或提现</w:t>
      </w:r>
      <w:r>
        <w:rPr>
          <w:rFonts w:ascii="Arial Unicode MS" w:hAnsi="Arial Unicode MS" w:eastAsia="Arial Unicode MS"/>
          <w:color w:val="303632"/>
          <w:sz w:val="20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只读接入公开市场数据；不接收交易 API key、提现 key 或私钥。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模型可以提出候选判断和解释，不能绕过确定性证据/风险门禁。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结果可能是成功、被阻断、失败、过期、等待人工确认或通知未知；这些状态必须在 UI 中区分。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普通用户看到的是结构化摘要、证据、来源、规则和审计信息，不展示 raw prompt、raw completion 或模型私有 chain-of-thought。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“人工确认”不是收益承诺，也不替代适用地区的金融产品、风险披露和法律评审。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1.3 面向官网的核心价值表达（设计建议）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3EC" w:val="clear"/>
            <w:tcBorders>
              <w:top w:val="single" w:sz="8" w:space="0" w:color="2F6B47"/>
              <w:left w:val="single" w:sz="8" w:space="0" w:color="2F6B47"/>
              <w:bottom w:val="single" w:sz="8" w:space="0" w:color="2F6B47"/>
              <w:right w:val="single" w:sz="8" w:space="0" w:color="2F6B47"/>
              <w:insideH w:val="single" w:sz="8" w:space="0" w:color="2F6B47"/>
              <w:insideV w:val="single" w:sz="8" w:space="0" w:color="2F6B47"/>
            </w:tcBorders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2F6B47"/>
                <w:sz w:val="21"/>
              </w:rPr>
              <w:t xml:space="preserve">重点  </w:t>
            </w:r>
            <w:r>
              <w:rPr>
                <w:rFonts w:ascii="Arial Unicode MS" w:hAnsi="Arial Unicode MS" w:eastAsia="Arial Unicode MS"/>
                <w:color w:val="303632"/>
                <w:sz w:val="21"/>
              </w:rPr>
              <w:t>把行情、证据和风险门禁，放进同一个人工决策工作台。</w:t>
            </w:r>
          </w:p>
        </w:tc>
      </w:tr>
    </w:tbl>
    <w:p>
      <w:pPr>
        <w:spacing w:before="0" w:after="100" w:line="240" w:lineRule="auto"/>
      </w:pP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303632"/>
          <w:sz w:val="21"/>
        </w:rPr>
        <w:t>可作为官网辅助文案的方向：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从实时市场事实开始，而不是从一句未经验证的观点开始。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每个结论都能回到来源、数据新鲜度、风险规则和运行版本。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复杂分析可以继续运行、等待人工确认、恢复、重试和回看。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任何不确定性都会被显式标记，而不是包装成确定答案。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303632"/>
          <w:sz w:val="21"/>
        </w:rPr>
        <w:t>以上属于官网文案草案，产品与法务确认前不要使用“投资建议”“自动交易”“保证收益”“实时无误”等表述。</w:t>
      </w:r>
    </w:p>
    <w:p>
      <w:pPr>
        <w:spacing w:before="40" w:after="40" w:line="240" w:lineRule="auto"/>
        <w:pBdr>
          <w:bottom w:val="single" w:sz="6" w:space="1" w:color="D9DDD8"/>
        </w:pBdr>
      </w:pPr>
    </w:p>
    <w:p>
      <w:pPr>
        <w:pStyle w:val="Heading2"/>
        <w:spacing w:before="280" w:after="140" w:line="276" w:lineRule="auto"/>
      </w:pPr>
      <w:r>
        <w:rPr>
          <w:rFonts w:ascii="Arial Unicode MS" w:hAnsi="Arial Unicode MS" w:eastAsia="Arial Unicode MS"/>
          <w:color w:val="315F78"/>
          <w:sz w:val="26"/>
        </w:rPr>
        <w:t>2. 资料来源与可信度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3000"/>
        <w:gridCol w:w="1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8"/>
              </w:rPr>
              <w:t>资料层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8"/>
              </w:rPr>
              <w:t>主要文件/目录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8"/>
              </w:rPr>
              <w:t>在本资料包中的用途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8"/>
              </w:rPr>
              <w:t>可信度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当前代码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frontend/src/app/</w:t>
            </w:r>
            <w:r>
              <w:rPr>
                <w:rFonts w:ascii="Arial Unicode MS" w:hAnsi="Arial Unicode MS" w:eastAsia="Arial Unicode MS"/>
                <w:color w:val="303632"/>
                <w:sz w:val="18"/>
              </w:rPr>
              <w:t>、</w:t>
            </w:r>
            <w:r>
              <w:rPr>
                <w:rFonts w:ascii="Courier New" w:hAnsi="Courier New" w:eastAsia="Arial Unicode MS"/>
                <w:color w:val="315F78"/>
                <w:sz w:val="17"/>
              </w:rPr>
              <w:t>frontend/src/features/</w:t>
            </w:r>
            <w:r>
              <w:rPr>
                <w:rFonts w:ascii="Arial Unicode MS" w:hAnsi="Arial Unicode MS" w:eastAsia="Arial Unicode MS"/>
                <w:color w:val="303632"/>
                <w:sz w:val="18"/>
              </w:rPr>
              <w:t>、</w:t>
            </w:r>
            <w:r>
              <w:rPr>
                <w:rFonts w:ascii="Courier New" w:hAnsi="Courier New" w:eastAsia="Arial Unicode MS"/>
                <w:color w:val="315F78"/>
                <w:sz w:val="17"/>
              </w:rPr>
              <w:t>backend/src/crypto_alert_v2/api/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页面、交互、API 和当前可见文案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代码事实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V2 产品/架构规范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docs/v2/01-v2-product-and-architecture.md</w:t>
            </w:r>
            <w:r>
              <w:rPr>
                <w:rFonts w:ascii="Arial Unicode MS" w:hAnsi="Arial Unicode MS" w:eastAsia="Arial Unicode MS"/>
                <w:color w:val="303632"/>
                <w:sz w:val="18"/>
              </w:rPr>
              <w:t>、</w:t>
            </w:r>
            <w:r>
              <w:rPr>
                <w:rFonts w:ascii="Courier New" w:hAnsi="Courier New" w:eastAsia="Arial Unicode MS"/>
                <w:color w:val="315F78"/>
                <w:sz w:val="17"/>
              </w:rPr>
              <w:t>06-c-end-agent-product-blueprint.md</w:t>
            </w:r>
            <w:r>
              <w:rPr>
                <w:rFonts w:ascii="Arial Unicode MS" w:hAnsi="Arial Unicode MS" w:eastAsia="Arial Unicode MS"/>
                <w:color w:val="303632"/>
                <w:sz w:val="18"/>
              </w:rPr>
              <w:t>、</w:t>
            </w:r>
            <w:r>
              <w:rPr>
                <w:rFonts w:ascii="Courier New" w:hAnsi="Courier New" w:eastAsia="Arial Unicode MS"/>
                <w:color w:val="315F78"/>
                <w:sz w:val="17"/>
              </w:rPr>
              <w:t>13-v2-final-rebuild-spec.md</w:t>
            </w:r>
            <w:r>
              <w:rPr>
                <w:rFonts w:ascii="Arial Unicode MS" w:hAnsi="Arial Unicode MS" w:eastAsia="Arial Unicode MS"/>
                <w:color w:val="303632"/>
                <w:sz w:val="18"/>
              </w:rPr>
              <w:t>、</w:t>
            </w:r>
            <w:r>
              <w:rPr>
                <w:rFonts w:ascii="Courier New" w:hAnsi="Courier New" w:eastAsia="Arial Unicode MS"/>
                <w:color w:val="315F78"/>
                <w:sz w:val="17"/>
              </w:rPr>
              <w:t>14-v2-final-implementation-plan.md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最终产品目标、信息架构和核心对象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规范设计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V2 状态与证据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docs/v2/15-v2-implementation-status.md</w:t>
            </w:r>
            <w:r>
              <w:rPr>
                <w:rFonts w:ascii="Arial Unicode MS" w:hAnsi="Arial Unicode MS" w:eastAsia="Arial Unicode MS"/>
                <w:color w:val="303632"/>
                <w:sz w:val="18"/>
              </w:rPr>
              <w:t>、</w:t>
            </w:r>
            <w:r>
              <w:rPr>
                <w:rFonts w:ascii="Courier New" w:hAnsi="Courier New" w:eastAsia="Arial Unicode MS"/>
                <w:color w:val="315F78"/>
                <w:sz w:val="17"/>
              </w:rPr>
              <w:t>18-v2-execution-ledger.md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判断哪些能力已落地、哪些仍未证明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代码/测试审计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交付验收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docs/v2/03-v2-delivery-checklist.md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UI 状态、移动端、可访问性和安全验收边界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规范设计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V1 历史需求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docs/formal/01-v1需求边界.md</w:t>
            </w:r>
            <w:r>
              <w:rPr>
                <w:rFonts w:ascii="Arial Unicode MS" w:hAnsi="Arial Unicode MS" w:eastAsia="Arial Unicode MS"/>
                <w:color w:val="303632"/>
                <w:sz w:val="18"/>
              </w:rPr>
              <w:t>、</w:t>
            </w:r>
            <w:r>
              <w:rPr>
                <w:rFonts w:ascii="Courier New" w:hAnsi="Courier New" w:eastAsia="Arial Unicode MS"/>
                <w:color w:val="315F78"/>
                <w:sz w:val="17"/>
              </w:rPr>
              <w:t>03-业务流程与状态机.md</w:t>
            </w:r>
            <w:r>
              <w:rPr>
                <w:rFonts w:ascii="Arial Unicode MS" w:hAnsi="Arial Unicode MS" w:eastAsia="Arial Unicode MS"/>
                <w:color w:val="303632"/>
                <w:sz w:val="18"/>
              </w:rPr>
              <w:t>、</w:t>
            </w:r>
            <w:r>
              <w:rPr>
                <w:rFonts w:ascii="Courier New" w:hAnsi="Courier New" w:eastAsia="Arial Unicode MS"/>
                <w:color w:val="315F78"/>
                <w:sz w:val="17"/>
              </w:rPr>
              <w:t>06-风控与置信度规则.md</w:t>
            </w:r>
            <w:r>
              <w:rPr>
                <w:rFonts w:ascii="Arial Unicode MS" w:hAnsi="Arial Unicode MS" w:eastAsia="Arial Unicode MS"/>
                <w:color w:val="303632"/>
                <w:sz w:val="18"/>
              </w:rPr>
              <w:t>、</w:t>
            </w:r>
            <w:r>
              <w:rPr>
                <w:rFonts w:ascii="Courier New" w:hAnsi="Courier New" w:eastAsia="Arial Unicode MS"/>
                <w:color w:val="315F78"/>
                <w:sz w:val="17"/>
              </w:rPr>
              <w:t>08-通知与调度策略.md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说明 manual alert、RiskGate、Bark 的历史来源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历史基线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页面截图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frontend/artifacts/playwright-real/</w:t>
            </w:r>
            <w:r>
              <w:rPr>
                <w:rFonts w:ascii="Arial Unicode MS" w:hAnsi="Arial Unicode MS" w:eastAsia="Arial Unicode MS"/>
                <w:color w:val="303632"/>
                <w:sz w:val="18"/>
              </w:rPr>
              <w:t>、</w:t>
            </w:r>
            <w:r>
              <w:rPr>
                <w:rFonts w:ascii="Courier New" w:hAnsi="Courier New" w:eastAsia="Arial Unicode MS"/>
                <w:color w:val="315F78"/>
                <w:sz w:val="17"/>
              </w:rPr>
              <w:t>frontend/artifacts/playwright/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视觉现状、页面层级、响应式和错误态参考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本地证据</w:t>
            </w:r>
          </w:p>
        </w:tc>
      </w:tr>
    </w:tbl>
    <w:p>
      <w:pPr>
        <w:spacing w:before="0" w:after="60" w:line="240" w:lineRule="auto"/>
      </w:pP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2.1 当前状态摘要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303632"/>
          <w:sz w:val="21"/>
        </w:rPr>
        <w:t xml:space="preserve">截至 2026-07-17，V2 审计结论是 </w:t>
      </w:r>
      <w:r>
        <w:rPr>
          <w:rFonts w:ascii="Arial Unicode MS" w:hAnsi="Arial Unicode MS" w:eastAsia="Arial Unicode MS"/>
          <w:b/>
          <w:color w:val="202421"/>
          <w:sz w:val="21"/>
        </w:rPr>
        <w:t>PARTIAL / Production Ready: NO</w:t>
      </w:r>
      <w:r>
        <w:rPr>
          <w:rFonts w:ascii="Arial Unicode MS" w:hAnsi="Arial Unicode MS" w:eastAsia="Arial Unicode MS"/>
          <w:color w:val="303632"/>
          <w:sz w:val="21"/>
        </w:rPr>
        <w:t>。本地 backend、frontend、Product API、PostgreSQL、worker、官方 development Agent Server 和 Playwright 证据已覆盖大量主流程切片，但以下项目仍未形成 hosted production 证明：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真实 hosted OIDC、可信 HTTPS 和多主体浏览器状态。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licensed persistent Agent Server 的重启持久化与灾备恢复。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真实 Bark/provider 回执、通知未知态恢复和完整投递闭环。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LangSmith/Langfuse 官方 SDK 的真实双端 hosted trace 与 outage 证明。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负载/SLO、backup/restore、key rotation、SBOM/signing、release attestation。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Deep Research、Monitors/Cron、Outcome、Memory、Entitlement/Usage 等完整产品模式和 UI。</w:t>
      </w:r>
    </w:p>
    <w:p>
      <w:pPr>
        <w:spacing w:before="40" w:after="40" w:line="240" w:lineRule="auto"/>
        <w:pBdr>
          <w:bottom w:val="single" w:sz="6" w:space="1" w:color="D9DDD8"/>
        </w:pBdr>
      </w:pPr>
    </w:p>
    <w:p>
      <w:pPr>
        <w:pStyle w:val="Heading2"/>
        <w:spacing w:before="280" w:after="140" w:line="276" w:lineRule="auto"/>
      </w:pPr>
      <w:r>
        <w:rPr>
          <w:rFonts w:ascii="Arial Unicode MS" w:hAnsi="Arial Unicode MS" w:eastAsia="Arial Unicode MS"/>
          <w:color w:val="315F78"/>
          <w:sz w:val="26"/>
        </w:rPr>
        <w:t>3. 产品演进：V1 与 V2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3.1 V1 历史基线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303632"/>
          <w:sz w:val="21"/>
        </w:rPr>
        <w:t>V1 是个人使用的“加密货币手动操作提醒系统”，核心链路为：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single" w:sz="4" w:space="0" w:color="D9DDD8"/>
              <w:left w:val="single" w:sz="4" w:space="0" w:color="D9DDD8"/>
              <w:bottom w:val="single" w:sz="4" w:space="0" w:color="D9DDD8"/>
              <w:right w:val="single" w:sz="4" w:space="0" w:color="D9DDD8"/>
              <w:insideH w:val="single" w:sz="4" w:space="0" w:color="D9DDD8"/>
              <w:insideV w:val="single" w:sz="4" w:space="0" w:color="D9DDD8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Query / Scheduler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Parse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Load fixed skill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Refresh market facts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Evidence gate / research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Final decision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Strict parser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Risk gate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Journal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Bark notification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303632"/>
          <w:sz w:val="21"/>
        </w:rPr>
        <w:t>V1 已确定的约束：固定 crypto skill、实时事实、严格 JSON、RiskGate、journal、Bark；明确不做自动交易、交易/提现 key、长期向量记忆、自动仓位计算和多交易所执行。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3.2 V2 目标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303632"/>
          <w:sz w:val="21"/>
        </w:rPr>
        <w:t>V2 将 V1 的单次提醒升级为多用户 Crypto Intelligence Agent Workspace。用户围绕产品对象操作，而不是直接面对后端 JSON：</w:t>
      </w:r>
    </w:p>
    <w:p>
      <w:pPr>
        <w:pStyle w:val="ListBullet"/>
        <w:spacing w:before="0" w:after="80" w:line="300" w:lineRule="auto"/>
      </w:pPr>
      <w:r>
        <w:rPr>
          <w:rFonts w:ascii="Courier New" w:hAnsi="Courier New" w:eastAsia="Arial Unicode MS"/>
          <w:color w:val="315F78"/>
          <w:sz w:val="19"/>
        </w:rPr>
        <w:t>Workspace</w:t>
      </w:r>
      <w:r>
        <w:rPr>
          <w:rFonts w:ascii="Arial Unicode MS" w:hAnsi="Arial Unicode MS" w:eastAsia="Arial Unicode MS"/>
          <w:color w:val="303632"/>
          <w:sz w:val="20"/>
        </w:rPr>
        <w:t>：租户、成员、权限、配额和集成边界。</w:t>
      </w:r>
    </w:p>
    <w:p>
      <w:pPr>
        <w:pStyle w:val="ListBullet"/>
        <w:spacing w:before="0" w:after="80" w:line="300" w:lineRule="auto"/>
      </w:pPr>
      <w:r>
        <w:rPr>
          <w:rFonts w:ascii="Courier New" w:hAnsi="Courier New" w:eastAsia="Arial Unicode MS"/>
          <w:color w:val="315F78"/>
          <w:sz w:val="19"/>
        </w:rPr>
        <w:t>Thread</w:t>
      </w:r>
      <w:r>
        <w:rPr>
          <w:rFonts w:ascii="Arial Unicode MS" w:hAnsi="Arial Unicode MS" w:eastAsia="Arial Unicode MS"/>
          <w:color w:val="303632"/>
          <w:sz w:val="20"/>
        </w:rPr>
        <w:t>：长期上下文与可恢复会话。</w:t>
      </w:r>
    </w:p>
    <w:p>
      <w:pPr>
        <w:pStyle w:val="ListBullet"/>
        <w:spacing w:before="0" w:after="80" w:line="300" w:lineRule="auto"/>
      </w:pPr>
      <w:r>
        <w:rPr>
          <w:rFonts w:ascii="Courier New" w:hAnsi="Courier New" w:eastAsia="Arial Unicode MS"/>
          <w:color w:val="315F78"/>
          <w:sz w:val="19"/>
        </w:rPr>
        <w:t>Task</w:t>
      </w:r>
      <w:r>
        <w:rPr>
          <w:rFonts w:ascii="Arial Unicode MS" w:hAnsi="Arial Unicode MS" w:eastAsia="Arial Unicode MS"/>
          <w:color w:val="303632"/>
          <w:sz w:val="20"/>
        </w:rPr>
        <w:t>：用户可理解的工作单元。</w:t>
      </w:r>
    </w:p>
    <w:p>
      <w:pPr>
        <w:pStyle w:val="ListBullet"/>
        <w:spacing w:before="0" w:after="80" w:line="300" w:lineRule="auto"/>
      </w:pPr>
      <w:r>
        <w:rPr>
          <w:rFonts w:ascii="Courier New" w:hAnsi="Courier New" w:eastAsia="Arial Unicode MS"/>
          <w:color w:val="315F78"/>
          <w:sz w:val="19"/>
        </w:rPr>
        <w:t>Run</w:t>
      </w:r>
      <w:r>
        <w:rPr>
          <w:rFonts w:ascii="Arial Unicode MS" w:hAnsi="Arial Unicode MS" w:eastAsia="Arial Unicode MS"/>
          <w:color w:val="303632"/>
          <w:sz w:val="20"/>
        </w:rPr>
        <w:t>：一次不可变执行尝试。</w:t>
      </w:r>
    </w:p>
    <w:p>
      <w:pPr>
        <w:pStyle w:val="ListBullet"/>
        <w:spacing w:before="0" w:after="80" w:line="300" w:lineRule="auto"/>
      </w:pPr>
      <w:r>
        <w:rPr>
          <w:rFonts w:ascii="Courier New" w:hAnsi="Courier New" w:eastAsia="Arial Unicode MS"/>
          <w:color w:val="315F78"/>
          <w:sz w:val="19"/>
        </w:rPr>
        <w:t>Artifact</w:t>
      </w:r>
      <w:r>
        <w:rPr>
          <w:rFonts w:ascii="Arial Unicode MS" w:hAnsi="Arial Unicode MS" w:eastAsia="Arial Unicode MS"/>
          <w:color w:val="303632"/>
          <w:sz w:val="20"/>
        </w:rPr>
        <w:t>：报告、证据集、比较结果和结构化结论。</w:t>
      </w:r>
    </w:p>
    <w:p>
      <w:pPr>
        <w:pStyle w:val="ListBullet"/>
        <w:spacing w:before="0" w:after="80" w:line="300" w:lineRule="auto"/>
      </w:pPr>
      <w:r>
        <w:rPr>
          <w:rFonts w:ascii="Courier New" w:hAnsi="Courier New" w:eastAsia="Arial Unicode MS"/>
          <w:color w:val="315F78"/>
          <w:sz w:val="19"/>
        </w:rPr>
        <w:t>Interrupt</w:t>
      </w:r>
      <w:r>
        <w:rPr>
          <w:rFonts w:ascii="Arial Unicode MS" w:hAnsi="Arial Unicode MS" w:eastAsia="Arial Unicode MS"/>
          <w:color w:val="303632"/>
          <w:sz w:val="20"/>
        </w:rPr>
        <w:t>：等待人工决定的正式状态。</w:t>
      </w:r>
    </w:p>
    <w:p>
      <w:pPr>
        <w:pStyle w:val="ListBullet"/>
        <w:spacing w:before="0" w:after="80" w:line="300" w:lineRule="auto"/>
      </w:pPr>
      <w:r>
        <w:rPr>
          <w:rFonts w:ascii="Courier New" w:hAnsi="Courier New" w:eastAsia="Arial Unicode MS"/>
          <w:color w:val="315F78"/>
          <w:sz w:val="19"/>
        </w:rPr>
        <w:t>Checkpoint</w:t>
      </w:r>
      <w:r>
        <w:rPr>
          <w:rFonts w:ascii="Arial Unicode MS" w:hAnsi="Arial Unicode MS" w:eastAsia="Arial Unicode MS"/>
          <w:color w:val="303632"/>
          <w:sz w:val="20"/>
        </w:rPr>
        <w:t>：恢复、重试、分叉和 time travel 的执行快照。</w:t>
      </w:r>
    </w:p>
    <w:p>
      <w:pPr>
        <w:pStyle w:val="ListBullet"/>
        <w:spacing w:before="0" w:after="80" w:line="300" w:lineRule="auto"/>
      </w:pPr>
      <w:r>
        <w:rPr>
          <w:rFonts w:ascii="Courier New" w:hAnsi="Courier New" w:eastAsia="Arial Unicode MS"/>
          <w:color w:val="315F78"/>
          <w:sz w:val="19"/>
        </w:rPr>
        <w:t>EventProjection</w:t>
      </w:r>
      <w:r>
        <w:rPr>
          <w:rFonts w:ascii="Arial Unicode MS" w:hAnsi="Arial Unicode MS" w:eastAsia="Arial Unicode MS"/>
          <w:color w:val="303632"/>
          <w:sz w:val="20"/>
        </w:rPr>
        <w:t>：将官方流事件转成用户可读的状态和时间线。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303632"/>
          <w:sz w:val="21"/>
        </w:rPr>
        <w:t>规范规划的产品模式：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模式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用户价值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当前状态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interactive_chat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追问行情、事件、证据和历史结论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未完整落地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market_analysis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生成结构化市场分析，必须人工决策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当前主链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deep_research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多来源专题研究、可引用、可中断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未开始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scheduled_monitor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周期检查价格、事件和风险条件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未开始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alert_inbox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聚合待确认、失败、降级和后台完成提醒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部分落地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outcome_review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对历史判断进行成熟窗口复盘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未开始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scenario_compare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从历史 checkpoint 分支比较假设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部分落地（fork）</w:t>
            </w:r>
          </w:p>
        </w:tc>
      </w:tr>
    </w:tbl>
    <w:p>
      <w:pPr>
        <w:spacing w:before="0" w:after="60" w:line="240" w:lineRule="auto"/>
      </w:pPr>
    </w:p>
    <w:p>
      <w:pPr>
        <w:spacing w:before="40" w:after="40" w:line="240" w:lineRule="auto"/>
        <w:pBdr>
          <w:bottom w:val="single" w:sz="6" w:space="1" w:color="D9DDD8"/>
        </w:pBdr>
      </w:pPr>
    </w:p>
    <w:p>
      <w:pPr>
        <w:pStyle w:val="Heading2"/>
        <w:spacing w:before="280" w:after="140" w:line="276" w:lineRule="auto"/>
      </w:pPr>
      <w:r>
        <w:rPr>
          <w:rFonts w:ascii="Arial Unicode MS" w:hAnsi="Arial Unicode MS" w:eastAsia="Arial Unicode MS"/>
          <w:color w:val="315F78"/>
          <w:sz w:val="26"/>
        </w:rPr>
        <w:t>4. 当前技术与运行链路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4.1 当前实现拓扑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single" w:sz="4" w:space="0" w:color="D9DDD8"/>
              <w:left w:val="single" w:sz="4" w:space="0" w:color="D9DDD8"/>
              <w:bottom w:val="single" w:sz="4" w:space="0" w:color="D9DDD8"/>
              <w:right w:val="single" w:sz="4" w:space="0" w:color="D9DDD8"/>
              <w:insideH w:val="single" w:sz="4" w:space="0" w:color="D9DDD8"/>
              <w:insideV w:val="single" w:sz="4" w:space="0" w:color="D9DDD8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Browser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Next.js frontend / same-origin BFF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Product API (/api/v2/*)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ProductAnalysisService + PostgreSQL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durable TaskCommand / worker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official LangGraph Agent Server / canonical graph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OKX public market data + Web Search + LangChain agents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evidence verdict + risk verdict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ArtifactVersion / Decision / Run projection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optional notification outbox / Bark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4.2 当前主流程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single" w:sz="4" w:space="0" w:color="D9DDD8"/>
              <w:left w:val="single" w:sz="4" w:space="0" w:color="D9DDD8"/>
              <w:bottom w:val="single" w:sz="4" w:space="0" w:color="D9DDD8"/>
              <w:right w:val="single" w:sz="4" w:space="0" w:color="D9DDD8"/>
              <w:insideH w:val="single" w:sz="4" w:space="0" w:color="D9DDD8"/>
              <w:insideV w:val="single" w:sz="4" w:space="0" w:color="D9DDD8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提交分析请求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校验 symbol / horizon / query / notify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建立 Task / Run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采集行情快照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读取 Web 证据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生成结构化分析草稿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证据门禁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风险门禁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必要时等待人工审核（approve / reject / edit）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提交 Artifact / Decision / Run 状态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可选通知</w:t>
            </w:r>
          </w:p>
          <w:p>
            <w:pPr>
              <w:spacing w:before="0" w:after="0" w:line="252" w:lineRule="auto"/>
            </w:pPr>
            <w:r>
              <w:rPr>
                <w:rFonts w:ascii="Courier New" w:hAnsi="Courier New" w:eastAsia="Arial Unicode MS"/>
                <w:color w:val="315F78"/>
                <w:sz w:val="17"/>
              </w:rPr>
              <w:t xml:space="preserve">  -&gt; 在 Work、Runs、Inbox、Library 中回看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4.3 当前可核对的 Product API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API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功能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对应页面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POST /api/v2/analysis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创建分析 Task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Work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GET /api/v2/tasks/{task_id}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读取 Task、Run、Artifact、Interrupt 和通知摘要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Work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GET /api/v2/home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首页聚合：Watchlist、活跃任务、待处理数、最近报告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Home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GET /api/v2/runs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分析记录列表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Runs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GET /api/v2/runs/{run_id}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单次运行详情和反馈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Run detail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POST /api/v2/runs/{run_id}/feedback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结果反馈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Run detail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GET /api/v2/inbox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人工审核收件箱，支持状态筛选和分页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Inbox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POST /api/v2/tasks/{task_id}/interrupts/respond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单项人工审核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Work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POST /api/v2/tasks/{task_id}/interrupts/respond-all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多项审核整组提交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Work / Inbox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POST /api/v2/tasks/{task_id}/cancel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取消 Task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Work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POST /api/v2/tasks/{task_id}/retry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对失败/阻断 Task 重试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Work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POST /api/v2/tasks/{task_id}/fork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从历史 checkpoint 创建分支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Work / Run detail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GET/PUT/DELETE /api/v2/watchlist/{symbol}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管理关注标的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Home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GET /api/v2/artifacts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报告版本列表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Library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GET /api/v2/artifacts/{artifact_id}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报告版本、证据、来源、lineage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Artifact detail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GET /api/v2/tasks/{task_id}/notifications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通知状态与尝试记录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Work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POST /api/v2/notifications/{notification_id}/resend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人工请求一次重发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Work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GET/PATCH /api/v2/settings/notifications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Bark 用户级通知设置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Settings</w:t>
            </w:r>
          </w:p>
        </w:tc>
      </w:tr>
    </w:tbl>
    <w:p>
      <w:pPr>
        <w:spacing w:before="0" w:after="60" w:line="240" w:lineRule="auto"/>
      </w:pP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303632"/>
          <w:sz w:val="21"/>
        </w:rPr>
        <w:t xml:space="preserve">所有写操作使用 </w:t>
      </w:r>
      <w:r>
        <w:rPr>
          <w:rFonts w:ascii="Courier New" w:hAnsi="Courier New" w:eastAsia="Arial Unicode MS"/>
          <w:color w:val="315F78"/>
          <w:sz w:val="20"/>
        </w:rPr>
        <w:t>Idempotency-Key</w:t>
      </w:r>
      <w:r>
        <w:rPr>
          <w:rFonts w:ascii="Arial Unicode MS" w:hAnsi="Arial Unicode MS" w:eastAsia="Arial Unicode MS"/>
          <w:color w:val="303632"/>
          <w:sz w:val="21"/>
        </w:rPr>
        <w:t>，UI 需要提供重复提交、网络重试和服务端冲突的可读反馈。</w:t>
      </w:r>
    </w:p>
    <w:p>
      <w:pPr>
        <w:spacing w:before="40" w:after="40" w:line="240" w:lineRule="auto"/>
        <w:pBdr>
          <w:bottom w:val="single" w:sz="6" w:space="1" w:color="D9DDD8"/>
        </w:pBdr>
      </w:pPr>
    </w:p>
    <w:p>
      <w:pPr>
        <w:pStyle w:val="Heading2"/>
        <w:spacing w:before="280" w:after="140" w:line="276" w:lineRule="auto"/>
      </w:pPr>
      <w:r>
        <w:rPr>
          <w:rFonts w:ascii="Arial Unicode MS" w:hAnsi="Arial Unicode MS" w:eastAsia="Arial Unicode MS"/>
          <w:color w:val="315F78"/>
          <w:sz w:val="26"/>
        </w:rPr>
        <w:t>5. 当前页面信息架构与功能清单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3EC" w:val="clear"/>
            <w:tcBorders>
              <w:top w:val="single" w:sz="8" w:space="0" w:color="2F6B47"/>
              <w:left w:val="single" w:sz="8" w:space="0" w:color="2F6B47"/>
              <w:bottom w:val="single" w:sz="8" w:space="0" w:color="2F6B47"/>
              <w:right w:val="single" w:sz="8" w:space="0" w:color="2F6B47"/>
              <w:insideH w:val="single" w:sz="8" w:space="0" w:color="2F6B47"/>
              <w:insideV w:val="single" w:sz="8" w:space="0" w:color="2F6B47"/>
            </w:tcBorders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2F6B47"/>
                <w:sz w:val="21"/>
              </w:rPr>
              <w:t xml:space="preserve">重点  </w:t>
            </w:r>
            <w:r>
              <w:rPr>
                <w:rFonts w:ascii="Arial Unicode MS" w:hAnsi="Arial Unicode MS" w:eastAsia="Arial Unicode MS"/>
                <w:color w:val="303632"/>
                <w:sz w:val="21"/>
              </w:rPr>
              <w:t>当前代码的一级导航与 V2 规范目标不完全一致。官网设计可参考未来产品叙事，但不能把规划页面写成已经上线的功能。</w:t>
            </w:r>
          </w:p>
        </w:tc>
      </w:tr>
    </w:tbl>
    <w:p>
      <w:pPr>
        <w:spacing w:before="0" w:after="100" w:line="240" w:lineRule="auto"/>
      </w:pP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5.1 已落地页面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3000"/>
        <w:gridCol w:w="1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8"/>
              </w:rPr>
              <w:t>页面/路由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8"/>
              </w:rPr>
              <w:t>当前用途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8"/>
              </w:rPr>
              <w:t>主要功能与内容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8"/>
              </w:rPr>
              <w:t>当前证据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/home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工作区概览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待处理审核、进行中任务、最近报告、BTC/ETH/SOL Watchlist、历史行情快照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代码 + 本地 Product/UI slice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/work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发起和跟踪市场分析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选择标的、分析周期、输入问题、完成后 Bark 开关；实时轮询/官方 stream；结果、证据、风险、通知；取消、重试、恢复、fork、HITL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代码 + success/failure/HITL 截图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/runs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分析运行记录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最近 25 次运行，按标的、周期、attempt、时间、状态、动作查看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代码 + fixture/real 截图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/runs/[runId]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单次运行详情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状态、运行元数据、完整结果、反馈（有帮助/需要改进）、取消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代码 + run detail 截图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/inbox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人工审核收件箱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待处理/已解决/全部筛选；审核卡片；分页；打开任务；过期/恢复失败/取消状态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代码 + Inbox 截图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/library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报告资料库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报告版本列表、状态、schema、动作、创建时间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代码 + fixture 截图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/artifacts/[artifactId]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报告与证据详情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版本历史、分析结果、证据/风险门禁、判断依据、来源、市场快照、Web evidence、数据溯源、Decision lineage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代码 + Artifact detail 截图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/settings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Bark 通知设置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启用/停用、设备 key 替换、不回显、更新时间、保存/撤销、错误态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代码</w:t>
            </w:r>
          </w:p>
        </w:tc>
      </w:tr>
    </w:tbl>
    <w:p>
      <w:pPr>
        <w:spacing w:before="0" w:after="60" w:line="240" w:lineRule="auto"/>
      </w:pP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5.2 规划中但尚未完整落地的页面/模式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规划页面/模式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目标体验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UI 组现阶段可准备的素材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Monitors</w:t>
            </w:r>
            <w:r>
              <w:rPr>
                <w:rFonts w:ascii="Arial Unicode MS" w:hAnsi="Arial Unicode MS" w:eastAsia="Arial Unicode MS"/>
                <w:color w:val="303632"/>
                <w:sz w:val="19"/>
              </w:rPr>
              <w:t xml:space="preserve"> / </w:t>
            </w:r>
            <w:r>
              <w:rPr>
                <w:rFonts w:ascii="Courier New" w:hAnsi="Courier New" w:eastAsia="Arial Unicode MS"/>
                <w:color w:val="315F78"/>
                <w:sz w:val="18"/>
              </w:rPr>
              <w:t>scheduled_monitor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价格、事件、thesis、数据源健康监控；频率、有效期、静默时段、触发历史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监控规则表单、状态时间线、触发记录、通知策略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Work 内的 Chat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围绕同一 Thread 连续追问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Thread 列表、消息时间线、上下文边界、引用卡片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Deep Research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长任务、多来源、可中断、可产生 Artifact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任务进度、子研究角色、来源集合、停止/恢复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Scenario Compare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从 checkpoint 分支，比较不同假设/时间窗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分支树、差异对比、来源与风险差异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Outcome Review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成熟窗口后回看判断与实际结果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结果卡、窗口状态、命中/失效、评分与反馈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Admin</w:t>
            </w:r>
            <w:r>
              <w:rPr>
                <w:rFonts w:ascii="Arial Unicode MS" w:hAnsi="Arial Unicode MS" w:eastAsia="Arial Unicode MS"/>
                <w:color w:val="303632"/>
                <w:sz w:val="19"/>
              </w:rPr>
              <w:t xml:space="preserve"> / Workspace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成员、权限、配额、订阅、审计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权限矩阵、用量、审计日志；上线前需单独确认</w:t>
            </w:r>
          </w:p>
        </w:tc>
      </w:tr>
    </w:tbl>
    <w:p>
      <w:pPr>
        <w:spacing w:before="0" w:after="60" w:line="240" w:lineRule="auto"/>
      </w:pP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5.3 当前导航与规划导航的差异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当前代码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V2 规划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Home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Home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已有聚合首页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Work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Work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当前是单栏分析工作台；规划为 Chat/Analysis/Research/Compare 的统一工作区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Runs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深链接/详情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当前保留为一级导航，未来更偏详情/诊断路由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Inbox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Inbox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已落地人工审核队列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Library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Library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已落地报告/Artifact 回看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Settings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Settings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当前只覆盖通知；规划还包括偏好、隐私、Workspace、用量、集成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无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Monitors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规划中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无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Admin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规划中</w:t>
            </w:r>
          </w:p>
        </w:tc>
      </w:tr>
    </w:tbl>
    <w:p>
      <w:pPr>
        <w:spacing w:before="0" w:after="60" w:line="240" w:lineRule="auto"/>
      </w:pPr>
    </w:p>
    <w:p>
      <w:pPr>
        <w:spacing w:before="40" w:after="40" w:line="240" w:lineRule="auto"/>
        <w:pBdr>
          <w:bottom w:val="single" w:sz="6" w:space="1" w:color="D9DDD8"/>
        </w:pBdr>
      </w:pPr>
    </w:p>
    <w:p>
      <w:pPr>
        <w:pStyle w:val="Heading2"/>
        <w:spacing w:before="280" w:after="140" w:line="276" w:lineRule="auto"/>
      </w:pPr>
      <w:r>
        <w:rPr>
          <w:rFonts w:ascii="Arial Unicode MS" w:hAnsi="Arial Unicode MS" w:eastAsia="Arial Unicode MS"/>
          <w:color w:val="315F78"/>
          <w:sz w:val="26"/>
        </w:rPr>
        <w:t>6. 核心用户流程与状态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6.1 用户主流程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 xml:space="preserve">用户在 Work 选择 </w:t>
      </w:r>
      <w:r>
        <w:rPr>
          <w:rFonts w:ascii="Courier New" w:hAnsi="Courier New" w:eastAsia="Arial Unicode MS"/>
          <w:color w:val="315F78"/>
          <w:sz w:val="19"/>
        </w:rPr>
        <w:t>BTC / ETH / SOL</w:t>
      </w:r>
      <w:r>
        <w:rPr>
          <w:rFonts w:ascii="Arial Unicode MS" w:hAnsi="Arial Unicode MS" w:eastAsia="Arial Unicode MS"/>
          <w:color w:val="303632"/>
          <w:sz w:val="20"/>
        </w:rPr>
        <w:t xml:space="preserve">，选择周期（当前代码为 </w:t>
      </w:r>
      <w:r>
        <w:rPr>
          <w:rFonts w:ascii="Courier New" w:hAnsi="Courier New" w:eastAsia="Arial Unicode MS"/>
          <w:color w:val="315F78"/>
          <w:sz w:val="19"/>
        </w:rPr>
        <w:t>15m / 1h / 4h / 1d</w:t>
      </w:r>
      <w:r>
        <w:rPr>
          <w:rFonts w:ascii="Arial Unicode MS" w:hAnsi="Arial Unicode MS" w:eastAsia="Arial Unicode MS"/>
          <w:color w:val="303632"/>
          <w:sz w:val="20"/>
        </w:rPr>
        <w:t>），输入问题，可选打开完成后 Bark 通知。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系统创建 Task/Run，开始读取行情、Web 研究和分析流。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页面展示市场/研究证据和结构化分析结果；结果包含动作、概率、入场/止损/目标、有效期、判断依据、反向判断和失效条件。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证据不足或风险规则触发时，结果被降级或阻断，不可伪装成成功。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如果 graph 产生 HITL interrupt，用户在 Work 或 Inbox 中 approve / reject / edit；多项 interrupt 必须整组提交。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成功结果写入 Artifact/Decision/Run；用户可在 Runs、Library、Artifact detail 回看并提交反馈。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如果请求了通知，通知进入 outbox，并显示投递、重试、失败或未知状态；通知状态不改变风险结论。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6.2 状态词典（UI 需要统一）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3000"/>
        <w:gridCol w:w="1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8"/>
              </w:rPr>
              <w:t>机器状态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8"/>
              </w:rPr>
              <w:t>建议中文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8"/>
              </w:rPr>
              <w:t>用户看到的含义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8"/>
              </w:rPr>
              <w:t>允许的主操作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queued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排队中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已接收，等待执行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查看/取消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running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分析中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正在读取事实、研究或生成结果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查看进度/取消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waiting_human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等待人工确认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需要用户审核一个或多个决定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approve / reject / edit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succeeded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分析完成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已产生可回看的已保存报告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查看报告/反馈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blocked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已阻断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规则或证据不足，不应直接执行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查看原因/重试（条件允许）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failed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分析失败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外部服务或执行过程未完成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查看诊断/重试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cancelled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已取消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用户或系统停止了本次运行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查看/在允许时重试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expired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已过期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报告超过有效期，不代表当前计划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查看历史，不可直接执行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unknown</w:t>
            </w:r>
            <w:r>
              <w:rPr>
                <w:rFonts w:ascii="Arial Unicode MS" w:hAnsi="Arial Unicode MS" w:eastAsia="Arial Unicode MS"/>
                <w:color w:val="303632"/>
                <w:sz w:val="18"/>
              </w:rPr>
              <w:t>（通知）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通知结果未知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发送结果无法确认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查看/人工重发一次</w:t>
            </w:r>
          </w:p>
        </w:tc>
      </w:tr>
    </w:tbl>
    <w:p>
      <w:pPr>
        <w:spacing w:before="0" w:after="60" w:line="240" w:lineRule="auto"/>
      </w:pP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6.3 审核动作</w:t>
      </w:r>
    </w:p>
    <w:p>
      <w:pPr>
        <w:pStyle w:val="ListBullet"/>
        <w:spacing w:before="0" w:after="80" w:line="300" w:lineRule="auto"/>
      </w:pPr>
      <w:r>
        <w:rPr>
          <w:rFonts w:ascii="Courier New" w:hAnsi="Courier New" w:eastAsia="Arial Unicode MS"/>
          <w:color w:val="315F78"/>
          <w:sz w:val="19"/>
        </w:rPr>
        <w:t>approve</w:t>
      </w:r>
      <w:r>
        <w:rPr>
          <w:rFonts w:ascii="Arial Unicode MS" w:hAnsi="Arial Unicode MS" w:eastAsia="Arial Unicode MS"/>
          <w:color w:val="303632"/>
          <w:sz w:val="20"/>
        </w:rPr>
        <w:t>：接受当前结构化决定并继续。</w:t>
      </w:r>
    </w:p>
    <w:p>
      <w:pPr>
        <w:pStyle w:val="ListBullet"/>
        <w:spacing w:before="0" w:after="80" w:line="300" w:lineRule="auto"/>
      </w:pPr>
      <w:r>
        <w:rPr>
          <w:rFonts w:ascii="Courier New" w:hAnsi="Courier New" w:eastAsia="Arial Unicode MS"/>
          <w:color w:val="315F78"/>
          <w:sz w:val="19"/>
        </w:rPr>
        <w:t>reject</w:t>
      </w:r>
      <w:r>
        <w:rPr>
          <w:rFonts w:ascii="Arial Unicode MS" w:hAnsi="Arial Unicode MS" w:eastAsia="Arial Unicode MS"/>
          <w:color w:val="303632"/>
          <w:sz w:val="20"/>
        </w:rPr>
        <w:t>：拒绝当前决定，形成 blocked/终止结果。</w:t>
      </w:r>
    </w:p>
    <w:p>
      <w:pPr>
        <w:pStyle w:val="ListBullet"/>
        <w:spacing w:before="0" w:after="80" w:line="300" w:lineRule="auto"/>
      </w:pPr>
      <w:r>
        <w:rPr>
          <w:rFonts w:ascii="Courier New" w:hAnsi="Courier New" w:eastAsia="Arial Unicode MS"/>
          <w:color w:val="315F78"/>
          <w:sz w:val="19"/>
        </w:rPr>
        <w:t>edit</w:t>
      </w:r>
      <w:r>
        <w:rPr>
          <w:rFonts w:ascii="Arial Unicode MS" w:hAnsi="Arial Unicode MS" w:eastAsia="Arial Unicode MS"/>
          <w:color w:val="303632"/>
          <w:sz w:val="20"/>
        </w:rPr>
        <w:t>：人工修改动作、概率、仓位级别、最大杠杆、风险比例、根因链、反向判断或失效条件后再继续门禁。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单项 interrupt 可直接提交；多项 interrupt 需要“提交整组审核决定”。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审核窗口可能过期、冲突、网络失败、鉴权失败或被服务端版本更新；UI 不能静默重放旧请求。</w:t>
      </w:r>
    </w:p>
    <w:p>
      <w:pPr>
        <w:spacing w:before="40" w:after="40" w:line="240" w:lineRule="auto"/>
        <w:pBdr>
          <w:bottom w:val="single" w:sz="6" w:space="1" w:color="D9DDD8"/>
        </w:pBdr>
      </w:pPr>
    </w:p>
    <w:p>
      <w:pPr>
        <w:pStyle w:val="Heading2"/>
        <w:spacing w:before="280" w:after="140" w:line="276" w:lineRule="auto"/>
      </w:pPr>
      <w:r>
        <w:rPr>
          <w:rFonts w:ascii="Arial Unicode MS" w:hAnsi="Arial Unicode MS" w:eastAsia="Arial Unicode MS"/>
          <w:color w:val="315F78"/>
          <w:sz w:val="26"/>
        </w:rPr>
        <w:t>7. 结果内容与信息层级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7.1 结果头部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 xml:space="preserve">标的与周期，如 </w:t>
      </w:r>
      <w:r>
        <w:rPr>
          <w:rFonts w:ascii="Courier New" w:hAnsi="Courier New" w:eastAsia="Arial Unicode MS"/>
          <w:color w:val="315F78"/>
          <w:sz w:val="19"/>
        </w:rPr>
        <w:t>BTC · 4h</w:t>
      </w:r>
      <w:r>
        <w:rPr>
          <w:rFonts w:ascii="Arial Unicode MS" w:hAnsi="Arial Unicode MS" w:eastAsia="Arial Unicode MS"/>
          <w:color w:val="303632"/>
          <w:sz w:val="20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 xml:space="preserve">当前动作，如 </w:t>
      </w:r>
      <w:r>
        <w:rPr>
          <w:rFonts w:ascii="Courier New" w:hAnsi="Courier New" w:eastAsia="Arial Unicode MS"/>
          <w:color w:val="315F78"/>
          <w:sz w:val="19"/>
        </w:rPr>
        <w:t>开多 / 开空 / 暂不操作</w:t>
      </w:r>
      <w:r>
        <w:rPr>
          <w:rFonts w:ascii="Arial Unicode MS" w:hAnsi="Arial Unicode MS" w:eastAsia="Arial Unicode MS"/>
          <w:color w:val="303632"/>
          <w:sz w:val="20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 xml:space="preserve">概率与 regime，如 </w:t>
      </w:r>
      <w:r>
        <w:rPr>
          <w:rFonts w:ascii="Courier New" w:hAnsi="Courier New" w:eastAsia="Arial Unicode MS"/>
          <w:color w:val="315F78"/>
          <w:sz w:val="19"/>
        </w:rPr>
        <w:t>54% · Event compression</w:t>
      </w:r>
      <w:r>
        <w:rPr>
          <w:rFonts w:ascii="Arial Unicode MS" w:hAnsi="Arial Unicode MS" w:eastAsia="Arial Unicode MS"/>
          <w:color w:val="303632"/>
          <w:sz w:val="20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当前结果状态：当前分析、历史成功报告或已过期分析。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永远可见的 manual-only 标签：</w:t>
      </w:r>
      <w:r>
        <w:rPr>
          <w:rFonts w:ascii="Courier New" w:hAnsi="Courier New" w:eastAsia="Arial Unicode MS"/>
          <w:color w:val="315F78"/>
          <w:sz w:val="19"/>
        </w:rPr>
        <w:t>不执行交易</w:t>
      </w:r>
      <w:r>
        <w:rPr>
          <w:rFonts w:ascii="Arial Unicode MS" w:hAnsi="Arial Unicode MS" w:eastAsia="Arial Unicode MS"/>
          <w:color w:val="303632"/>
          <w:sz w:val="20"/>
        </w:rPr>
        <w:t xml:space="preserve"> / </w:t>
      </w:r>
      <w:r>
        <w:rPr>
          <w:rFonts w:ascii="Courier New" w:hAnsi="Courier New" w:eastAsia="Arial Unicode MS"/>
          <w:color w:val="315F78"/>
          <w:sz w:val="19"/>
        </w:rPr>
        <w:t>所有操作均需人工确认</w:t>
      </w:r>
      <w:r>
        <w:rPr>
          <w:rFonts w:ascii="Arial Unicode MS" w:hAnsi="Arial Unicode MS" w:eastAsia="Arial Unicode MS"/>
          <w:color w:val="303632"/>
          <w:sz w:val="20"/>
        </w:rPr>
        <w:t>。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7.2 交易计划指标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字段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UI 语义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视觉建议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Reference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当前参考价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中性数字，强调数据时间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Entry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入场价/触发价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未设置时显示“未设置”，不要补 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Stop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止损价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风险色，仅在有值时突出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Targets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目标价 1/2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正向色，支持多目标换行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Probability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判断概率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与证据/风险门禁并列，不等于收益概率承诺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TTL / 有效至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报告生命周期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过期后切换为警示态，并标注“不可作为当前计划”</w:t>
            </w:r>
          </w:p>
        </w:tc>
      </w:tr>
    </w:tbl>
    <w:p>
      <w:pPr>
        <w:spacing w:before="0" w:after="60" w:line="240" w:lineRule="auto"/>
      </w:pP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7.3 四类解释区块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b/>
          <w:color w:val="202421"/>
          <w:sz w:val="20"/>
        </w:rPr>
        <w:t>证据门禁</w:t>
      </w:r>
      <w:r>
        <w:rPr>
          <w:rFonts w:ascii="Arial Unicode MS" w:hAnsi="Arial Unicode MS" w:eastAsia="Arial Unicode MS"/>
          <w:color w:val="303632"/>
          <w:sz w:val="20"/>
        </w:rPr>
        <w:t>：必要证据是否齐全、置信上限、缺失必要/可选项、不可用数据和 warnings。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b/>
          <w:color w:val="202421"/>
          <w:sz w:val="20"/>
        </w:rPr>
        <w:t>风险门禁</w:t>
      </w:r>
      <w:r>
        <w:rPr>
          <w:rFonts w:ascii="Arial Unicode MS" w:hAnsi="Arial Unicode MS" w:eastAsia="Arial Unicode MS"/>
          <w:color w:val="303632"/>
          <w:sz w:val="20"/>
        </w:rPr>
        <w:t>：风险比例、最大杠杆、仓位级别、风险是否通过、阻断原因和 warnings。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b/>
          <w:color w:val="202421"/>
          <w:sz w:val="20"/>
        </w:rPr>
        <w:t>判断依据</w:t>
      </w:r>
      <w:r>
        <w:rPr>
          <w:rFonts w:ascii="Arial Unicode MS" w:hAnsi="Arial Unicode MS" w:eastAsia="Arial Unicode MS"/>
          <w:color w:val="303632"/>
          <w:sz w:val="20"/>
        </w:rPr>
        <w:t>：主根因链、反向判断、失效条件。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b/>
          <w:color w:val="202421"/>
          <w:sz w:val="20"/>
        </w:rPr>
        <w:t>来源链接 / 数据溯源</w:t>
      </w:r>
      <w:r>
        <w:rPr>
          <w:rFonts w:ascii="Arial Unicode MS" w:hAnsi="Arial Unicode MS" w:eastAsia="Arial Unicode MS"/>
          <w:color w:val="303632"/>
          <w:sz w:val="20"/>
        </w:rPr>
        <w:t>：来源标题、URL、provider、关系（支持/反向/背景）、发布时间、抓取时间、行情提供方、Web provider、解析器、模型和调用审计。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7.4 研究证据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303632"/>
          <w:sz w:val="21"/>
        </w:rPr>
        <w:t>Research Evidence 区域可能展示：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ticker、mark/index price、funding、open interest、order book、candles。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Web source 的 query、标题、摘要、最终 URL、发布时间、抓取时间。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来源是否匹配本次证据、关系是支持/反向/背景。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证据数量和验证状态：已验证、验证中、无来源。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7.5 通知状态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303632"/>
          <w:sz w:val="21"/>
        </w:rPr>
        <w:t>通知状态机：</w:t>
      </w:r>
      <w:r>
        <w:rPr>
          <w:rFonts w:ascii="Courier New" w:hAnsi="Courier New" w:eastAsia="Arial Unicode MS"/>
          <w:color w:val="315F78"/>
          <w:sz w:val="20"/>
        </w:rPr>
        <w:t>planned → leased → sending → delivered</w:t>
      </w:r>
      <w:r>
        <w:rPr>
          <w:rFonts w:ascii="Arial Unicode MS" w:hAnsi="Arial Unicode MS" w:eastAsia="Arial Unicode MS"/>
          <w:color w:val="303632"/>
          <w:sz w:val="21"/>
        </w:rPr>
        <w:t xml:space="preserve">，也可能进入 </w:t>
      </w:r>
      <w:r>
        <w:rPr>
          <w:rFonts w:ascii="Courier New" w:hAnsi="Courier New" w:eastAsia="Arial Unicode MS"/>
          <w:color w:val="315F78"/>
          <w:sz w:val="20"/>
        </w:rPr>
        <w:t>failed_retryable</w:t>
      </w:r>
      <w:r>
        <w:rPr>
          <w:rFonts w:ascii="Arial Unicode MS" w:hAnsi="Arial Unicode MS" w:eastAsia="Arial Unicode MS"/>
          <w:color w:val="303632"/>
          <w:sz w:val="21"/>
        </w:rPr>
        <w:t>、</w:t>
      </w:r>
      <w:r>
        <w:rPr>
          <w:rFonts w:ascii="Courier New" w:hAnsi="Courier New" w:eastAsia="Arial Unicode MS"/>
          <w:color w:val="315F78"/>
          <w:sz w:val="20"/>
        </w:rPr>
        <w:t>failed_terminal</w:t>
      </w:r>
      <w:r>
        <w:rPr>
          <w:rFonts w:ascii="Arial Unicode MS" w:hAnsi="Arial Unicode MS" w:eastAsia="Arial Unicode MS"/>
          <w:color w:val="303632"/>
          <w:sz w:val="21"/>
        </w:rPr>
        <w:t>、</w:t>
      </w:r>
      <w:r>
        <w:rPr>
          <w:rFonts w:ascii="Courier New" w:hAnsi="Courier New" w:eastAsia="Arial Unicode MS"/>
          <w:color w:val="315F78"/>
          <w:sz w:val="20"/>
        </w:rPr>
        <w:t>unknown</w:t>
      </w:r>
      <w:r>
        <w:rPr>
          <w:rFonts w:ascii="Arial Unicode MS" w:hAnsi="Arial Unicode MS" w:eastAsia="Arial Unicode MS"/>
          <w:color w:val="303632"/>
          <w:sz w:val="21"/>
        </w:rPr>
        <w:t>。UI 要显示：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渠道（当前 Bark）。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当前状态和尝试次数（最多 5 次）。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更新时间、Provider receipt、错误码（如有）。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“人工重发一次”是否可用、是否已排队。</w:t>
      </w:r>
    </w:p>
    <w:p>
      <w:pPr>
        <w:spacing w:before="40" w:after="40" w:line="240" w:lineRule="auto"/>
        <w:pBdr>
          <w:bottom w:val="single" w:sz="6" w:space="1" w:color="D9DDD8"/>
        </w:pBdr>
      </w:pPr>
    </w:p>
    <w:p>
      <w:pPr>
        <w:pStyle w:val="Heading2"/>
        <w:spacing w:before="280" w:after="140" w:line="276" w:lineRule="auto"/>
      </w:pPr>
      <w:r>
        <w:rPr>
          <w:rFonts w:ascii="Arial Unicode MS" w:hAnsi="Arial Unicode MS" w:eastAsia="Arial Unicode MS"/>
          <w:color w:val="315F78"/>
          <w:sz w:val="26"/>
        </w:rPr>
        <w:t xml:space="preserve">8. 当前视觉基线（来自 </w:t>
      </w:r>
      <w:r>
        <w:rPr>
          <w:rFonts w:ascii="Courier New" w:hAnsi="Courier New" w:eastAsia="Arial Unicode MS"/>
          <w:color w:val="315F78"/>
          <w:sz w:val="25"/>
        </w:rPr>
        <w:t>frontend/src/app/globals.css</w:t>
      </w:r>
      <w:r>
        <w:rPr>
          <w:rFonts w:ascii="Arial Unicode MS" w:hAnsi="Arial Unicode MS" w:eastAsia="Arial Unicode MS"/>
          <w:color w:val="315F78"/>
          <w:sz w:val="26"/>
        </w:rPr>
        <w:t>）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8.1 颜色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3000"/>
        <w:gridCol w:w="1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8"/>
              </w:rPr>
              <w:t>角色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8"/>
              </w:rPr>
              <w:t>Token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8"/>
              </w:rPr>
              <w:t>Hex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Canvas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--canvas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#f3f4f1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页面底色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Surface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--surface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#ffffff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内容面板、卡片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Subtle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--surface-subtle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#f8f9f6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次级区域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Charcoal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--charcoal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#202421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标题、主按钮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Text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--text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#303632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正文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Muted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--muted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#667069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辅助文字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Border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--border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#d9ddd8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分隔线、边框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Border strong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--border-strong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#c3c9c3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输入框、按钮边框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Green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--green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#2f6b47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成功、验证、正向状态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Green soft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--green-soft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#e9f3ec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成功底色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Amber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--amber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#8a6615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人工边界、待审核、过期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Amber soft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--amber-soft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#fbf2d8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警示底色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Red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--red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#a33d36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失败、阻断、危险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Red soft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--red-soft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#faecea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失败底色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Blue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--blue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#315f78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证据、来源、信息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Blue soft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--blue-soft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7"/>
              </w:rPr>
              <w:t>#eaf2f6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8"/>
              </w:rPr>
              <w:t>信息底色</w:t>
            </w:r>
          </w:p>
        </w:tc>
      </w:tr>
    </w:tbl>
    <w:p>
      <w:pPr>
        <w:spacing w:before="0" w:after="60" w:line="240" w:lineRule="auto"/>
      </w:pP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303632"/>
          <w:sz w:val="21"/>
        </w:rPr>
        <w:t>当前视觉印象：浅灰画布、白色内容面、炭黑文字、细边框、克制阴影、低饱和绿/琥珀/红/蓝状态色，整体更像安静的运营工作台，而不是高刺激的交易终端。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8.2 布局与组件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桌面端：固定左侧导航约 224px，主内容最大宽度约 1080px，页面有较大的留白。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移动端：顶部品牌 + 横向图标导航，内容单列堆叠；不能把桌面三栏硬缩小。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卡片圆角约 6–8px，边框优先于强阴影。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主要按钮使用图标 + 文案；熟悉的操作使用 Lucide 图标。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表单控件：分段选择（标的）、下拉（周期）、多行输入（分析问题）、开关（完成后通知）。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状态视觉：成功绿色、待审核/过期琥珀色、失败/阻断红色、证据/信息蓝色。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触控目标至少 44px；需要支持中文输入法、safe area、深滚动和断线恢复。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8.3 官网视觉可继承与应谨慎的部分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303632"/>
          <w:sz w:val="21"/>
        </w:rPr>
        <w:t>可继承：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克制的绿色信任色和低饱和状态色。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“事实/证据/风险”三段式信息层级。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细边框、轻阴影、可扫描的数字指标。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手动边界用琥珀色提示，而不是危险红色恐吓。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303632"/>
          <w:sz w:val="21"/>
        </w:rPr>
        <w:t>官网需要重新设计：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工作台的高密度长页不适合直接当作官网首屏。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交易计划、概率、杠杆等字段必须放在合规/定位允许的语境中。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不要使用模拟数据作为“实时行情”宣传证据。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不要把错误态截图作为负面营销素材；它们只适合展示透明的失败处理能力。</w:t>
      </w:r>
    </w:p>
    <w:p>
      <w:pPr>
        <w:spacing w:before="40" w:after="40" w:line="240" w:lineRule="auto"/>
        <w:pBdr>
          <w:bottom w:val="single" w:sz="6" w:space="1" w:color="D9DDD8"/>
        </w:pBdr>
      </w:pPr>
    </w:p>
    <w:p>
      <w:pPr>
        <w:pStyle w:val="Heading2"/>
        <w:spacing w:before="280" w:after="140" w:line="276" w:lineRule="auto"/>
      </w:pPr>
      <w:r>
        <w:rPr>
          <w:rFonts w:ascii="Arial Unicode MS" w:hAnsi="Arial Unicode MS" w:eastAsia="Arial Unicode MS"/>
          <w:color w:val="315F78"/>
          <w:sz w:val="26"/>
        </w:rPr>
        <w:t>9. 官网信息架构建议（设计草案）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3EC" w:val="clear"/>
            <w:tcBorders>
              <w:top w:val="single" w:sz="8" w:space="0" w:color="2F6B47"/>
              <w:left w:val="single" w:sz="8" w:space="0" w:color="2F6B47"/>
              <w:bottom w:val="single" w:sz="8" w:space="0" w:color="2F6B47"/>
              <w:right w:val="single" w:sz="8" w:space="0" w:color="2F6B47"/>
              <w:insideH w:val="single" w:sz="8" w:space="0" w:color="2F6B47"/>
              <w:insideV w:val="single" w:sz="8" w:space="0" w:color="2F6B47"/>
            </w:tcBorders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2F6B47"/>
                <w:sz w:val="21"/>
              </w:rPr>
              <w:t xml:space="preserve">重点  </w:t>
            </w:r>
            <w:r>
              <w:rPr>
                <w:rFonts w:ascii="Arial Unicode MS" w:hAnsi="Arial Unicode MS" w:eastAsia="Arial Unicode MS"/>
                <w:color w:val="303632"/>
                <w:sz w:val="21"/>
              </w:rPr>
              <w:t>这一节是给官网 UI 组的起稿材料，不是当前代码已实现的页面。产品、品牌和法务确认后再进入正式视觉稿。</w:t>
            </w:r>
          </w:p>
        </w:tc>
      </w:tr>
    </w:tbl>
    <w:p>
      <w:pPr>
        <w:spacing w:before="0" w:after="100" w:line="240" w:lineRule="auto"/>
      </w:pP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9.1 建议导航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b/>
          <w:color w:val="202421"/>
          <w:sz w:val="20"/>
        </w:rPr>
        <w:t>Overview / 产品</w:t>
      </w:r>
      <w:r>
        <w:rPr>
          <w:rFonts w:ascii="Arial Unicode MS" w:hAnsi="Arial Unicode MS" w:eastAsia="Arial Unicode MS"/>
          <w:color w:val="303632"/>
          <w:sz w:val="20"/>
        </w:rPr>
        <w:t>：一句话定位、核心价值、可信边界。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b/>
          <w:color w:val="202421"/>
          <w:sz w:val="20"/>
        </w:rPr>
        <w:t>How it works / 工作方式</w:t>
      </w:r>
      <w:r>
        <w:rPr>
          <w:rFonts w:ascii="Arial Unicode MS" w:hAnsi="Arial Unicode MS" w:eastAsia="Arial Unicode MS"/>
          <w:color w:val="303632"/>
          <w:sz w:val="20"/>
        </w:rPr>
        <w:t>：事实 → 研究 → 分析 → 门禁 → 人工确认 → 回看。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b/>
          <w:color w:val="202421"/>
          <w:sz w:val="20"/>
        </w:rPr>
        <w:t>Evidence &amp; Risk / 证据与风险</w:t>
      </w:r>
      <w:r>
        <w:rPr>
          <w:rFonts w:ascii="Arial Unicode MS" w:hAnsi="Arial Unicode MS" w:eastAsia="Arial Unicode MS"/>
          <w:color w:val="303632"/>
          <w:sz w:val="20"/>
        </w:rPr>
        <w:t>：来源、数据新鲜度、规则阻断、可追溯。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b/>
          <w:color w:val="202421"/>
          <w:sz w:val="20"/>
        </w:rPr>
        <w:t>Use cases / 使用场景</w:t>
      </w:r>
      <w:r>
        <w:rPr>
          <w:rFonts w:ascii="Arial Unicode MS" w:hAnsi="Arial Unicode MS" w:eastAsia="Arial Unicode MS"/>
          <w:color w:val="303632"/>
          <w:sz w:val="20"/>
        </w:rPr>
        <w:t>：市场分析、审核收件箱、报告资料库、通知提醒。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b/>
          <w:color w:val="202421"/>
          <w:sz w:val="20"/>
        </w:rPr>
        <w:t>Product preview / 工作台预览</w:t>
      </w:r>
      <w:r>
        <w:rPr>
          <w:rFonts w:ascii="Arial Unicode MS" w:hAnsi="Arial Unicode MS" w:eastAsia="Arial Unicode MS"/>
          <w:color w:val="303632"/>
          <w:sz w:val="20"/>
        </w:rPr>
        <w:t>：桌面/移动截图与状态说明。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b/>
          <w:color w:val="202421"/>
          <w:sz w:val="20"/>
        </w:rPr>
        <w:t>Trust &amp; boundaries / 信任与边界</w:t>
      </w:r>
      <w:r>
        <w:rPr>
          <w:rFonts w:ascii="Arial Unicode MS" w:hAnsi="Arial Unicode MS" w:eastAsia="Arial Unicode MS"/>
          <w:color w:val="303632"/>
          <w:sz w:val="20"/>
        </w:rPr>
        <w:t>：manual-only、只读行情、数据和模型限制、隐私/安全说明。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b/>
          <w:color w:val="202421"/>
          <w:sz w:val="20"/>
        </w:rPr>
        <w:t>CTA</w:t>
      </w:r>
      <w:r>
        <w:rPr>
          <w:rFonts w:ascii="Arial Unicode MS" w:hAnsi="Arial Unicode MS" w:eastAsia="Arial Unicode MS"/>
          <w:color w:val="303632"/>
          <w:sz w:val="20"/>
        </w:rPr>
        <w:t>：进入工作台、预约演示或加入候选名单（依据当前发布阶段选择，不要默认公开注册）。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9.2 首屏草案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b/>
          <w:color w:val="202421"/>
          <w:sz w:val="21"/>
        </w:rPr>
        <w:t>品牌</w:t>
      </w:r>
      <w:r>
        <w:rPr>
          <w:rFonts w:ascii="Arial Unicode MS" w:hAnsi="Arial Unicode MS" w:eastAsia="Arial Unicode MS"/>
          <w:color w:val="303632"/>
          <w:sz w:val="21"/>
        </w:rPr>
        <w:t xml:space="preserve">：Signal Desk </w:t>
      </w:r>
      <w:r>
        <w:rPr>
          <w:rFonts w:ascii="Arial Unicode MS" w:hAnsi="Arial Unicode MS" w:eastAsia="Arial Unicode MS"/>
          <w:b/>
          <w:color w:val="202421"/>
          <w:sz w:val="21"/>
        </w:rPr>
        <w:t>主标题</w:t>
      </w:r>
      <w:r>
        <w:rPr>
          <w:rFonts w:ascii="Arial Unicode MS" w:hAnsi="Arial Unicode MS" w:eastAsia="Arial Unicode MS"/>
          <w:color w:val="303632"/>
          <w:sz w:val="21"/>
        </w:rPr>
        <w:t xml:space="preserve">：把行情、证据和风险门禁，放进同一个人工决策工作台。 </w:t>
      </w:r>
      <w:r>
        <w:rPr>
          <w:rFonts w:ascii="Arial Unicode MS" w:hAnsi="Arial Unicode MS" w:eastAsia="Arial Unicode MS"/>
          <w:b/>
          <w:color w:val="202421"/>
          <w:sz w:val="21"/>
        </w:rPr>
        <w:t>辅助文案</w:t>
      </w:r>
      <w:r>
        <w:rPr>
          <w:rFonts w:ascii="Arial Unicode MS" w:hAnsi="Arial Unicode MS" w:eastAsia="Arial Unicode MS"/>
          <w:color w:val="303632"/>
          <w:sz w:val="21"/>
        </w:rPr>
        <w:t xml:space="preserve">：从实时市场事实和可核验来源开始，生成可回看、可复核、明确标注不确定性的分析结果。系统不自动交易，最终操作始终由人确认。 </w:t>
      </w:r>
      <w:r>
        <w:rPr>
          <w:rFonts w:ascii="Arial Unicode MS" w:hAnsi="Arial Unicode MS" w:eastAsia="Arial Unicode MS"/>
          <w:b/>
          <w:color w:val="202421"/>
          <w:sz w:val="21"/>
        </w:rPr>
        <w:t>主 CTA</w:t>
      </w:r>
      <w:r>
        <w:rPr>
          <w:rFonts w:ascii="Arial Unicode MS" w:hAnsi="Arial Unicode MS" w:eastAsia="Arial Unicode MS"/>
          <w:color w:val="303632"/>
          <w:sz w:val="21"/>
        </w:rPr>
        <w:t xml:space="preserve">：查看产品流程 </w:t>
      </w:r>
      <w:r>
        <w:rPr>
          <w:rFonts w:ascii="Arial Unicode MS" w:hAnsi="Arial Unicode MS" w:eastAsia="Arial Unicode MS"/>
          <w:b/>
          <w:color w:val="202421"/>
          <w:sz w:val="21"/>
        </w:rPr>
        <w:t>次 CTA</w:t>
      </w:r>
      <w:r>
        <w:rPr>
          <w:rFonts w:ascii="Arial Unicode MS" w:hAnsi="Arial Unicode MS" w:eastAsia="Arial Unicode MS"/>
          <w:color w:val="303632"/>
          <w:sz w:val="21"/>
        </w:rPr>
        <w:t xml:space="preserve">：浏览工作台预览 </w:t>
      </w:r>
      <w:r>
        <w:rPr>
          <w:rFonts w:ascii="Arial Unicode MS" w:hAnsi="Arial Unicode MS" w:eastAsia="Arial Unicode MS"/>
          <w:b/>
          <w:color w:val="202421"/>
          <w:sz w:val="21"/>
        </w:rPr>
        <w:t>信任条</w:t>
      </w:r>
      <w:r>
        <w:rPr>
          <w:rFonts w:ascii="Arial Unicode MS" w:hAnsi="Arial Unicode MS" w:eastAsia="Arial Unicode MS"/>
          <w:color w:val="303632"/>
          <w:sz w:val="21"/>
        </w:rPr>
        <w:t>：人工确认 · 只读行情 · 来源可追溯 · 失败明确可见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303632"/>
          <w:sz w:val="21"/>
        </w:rPr>
        <w:t>首屏必须让用户第一眼理解：这是“人工决策辅助”，不是交易机器人、喊单群或收益承诺平台。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9.3 How it works 模块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303632"/>
          <w:sz w:val="21"/>
        </w:rPr>
        <w:t>建议用五步横向流程，移动端改为纵向：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b/>
          <w:color w:val="202421"/>
          <w:sz w:val="20"/>
        </w:rPr>
        <w:t>提出问题</w:t>
      </w:r>
      <w:r>
        <w:rPr>
          <w:rFonts w:ascii="Arial Unicode MS" w:hAnsi="Arial Unicode MS" w:eastAsia="Arial Unicode MS"/>
          <w:color w:val="303632"/>
          <w:sz w:val="20"/>
        </w:rPr>
        <w:t>：选择标的、周期，描述要判断的市场问题。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b/>
          <w:color w:val="202421"/>
          <w:sz w:val="20"/>
        </w:rPr>
        <w:t>读取事实</w:t>
      </w:r>
      <w:r>
        <w:rPr>
          <w:rFonts w:ascii="Arial Unicode MS" w:hAnsi="Arial Unicode MS" w:eastAsia="Arial Unicode MS"/>
          <w:color w:val="303632"/>
          <w:sz w:val="20"/>
        </w:rPr>
        <w:t>：获取行情快照、数据新鲜度和公开 Web 来源。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b/>
          <w:color w:val="202421"/>
          <w:sz w:val="20"/>
        </w:rPr>
        <w:t>生成分析</w:t>
      </w:r>
      <w:r>
        <w:rPr>
          <w:rFonts w:ascii="Arial Unicode MS" w:hAnsi="Arial Unicode MS" w:eastAsia="Arial Unicode MS"/>
          <w:color w:val="303632"/>
          <w:sz w:val="20"/>
        </w:rPr>
        <w:t>：结构化输出动作、概率、入场/止损/目标和失效条件。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b/>
          <w:color w:val="202421"/>
          <w:sz w:val="20"/>
        </w:rPr>
        <w:t>通过门禁</w:t>
      </w:r>
      <w:r>
        <w:rPr>
          <w:rFonts w:ascii="Arial Unicode MS" w:hAnsi="Arial Unicode MS" w:eastAsia="Arial Unicode MS"/>
          <w:color w:val="303632"/>
          <w:sz w:val="20"/>
        </w:rPr>
        <w:t>：证据不足或风险不满足时降级/阻断。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b/>
          <w:color w:val="202421"/>
          <w:sz w:val="20"/>
        </w:rPr>
        <w:t>人工复核</w:t>
      </w:r>
      <w:r>
        <w:rPr>
          <w:rFonts w:ascii="Arial Unicode MS" w:hAnsi="Arial Unicode MS" w:eastAsia="Arial Unicode MS"/>
          <w:color w:val="303632"/>
          <w:sz w:val="20"/>
        </w:rPr>
        <w:t>：用户批准、拒绝或编辑，之后保存报告并按需提醒。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9.4 可信度模块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303632"/>
          <w:sz w:val="21"/>
        </w:rPr>
        <w:t>推荐用三个并列模块：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b/>
          <w:color w:val="202421"/>
          <w:sz w:val="20"/>
        </w:rPr>
        <w:t>Evidence gate</w:t>
      </w:r>
      <w:r>
        <w:rPr>
          <w:rFonts w:ascii="Arial Unicode MS" w:hAnsi="Arial Unicode MS" w:eastAsia="Arial Unicode MS"/>
          <w:color w:val="303632"/>
          <w:sz w:val="20"/>
        </w:rPr>
        <w:t>：展示必要证据、缺失项、来源关系和数据时间。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b/>
          <w:color w:val="202421"/>
          <w:sz w:val="20"/>
        </w:rPr>
        <w:t>Risk gate</w:t>
      </w:r>
      <w:r>
        <w:rPr>
          <w:rFonts w:ascii="Arial Unicode MS" w:hAnsi="Arial Unicode MS" w:eastAsia="Arial Unicode MS"/>
          <w:color w:val="303632"/>
          <w:sz w:val="20"/>
        </w:rPr>
        <w:t>：展示风险比例、最大杠杆、仓位级别和阻断原因。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b/>
          <w:color w:val="202421"/>
          <w:sz w:val="20"/>
        </w:rPr>
        <w:t>Audit trail</w:t>
      </w:r>
      <w:r>
        <w:rPr>
          <w:rFonts w:ascii="Arial Unicode MS" w:hAnsi="Arial Unicode MS" w:eastAsia="Arial Unicode MS"/>
          <w:color w:val="303632"/>
          <w:sz w:val="20"/>
        </w:rPr>
        <w:t>：展示模型/Provider、报告版本、通知记录和反馈。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303632"/>
          <w:sz w:val="21"/>
        </w:rPr>
        <w:t>每个模块都应使用当前截图中的真实结构字段做视觉参考，但文案应避免暗示“门禁通过 = 一定正确”。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9.5 Use cases 模块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场景卡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叙事重点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可引用的当前页面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市场分析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从问题到结构化报告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Work / AnalysisResult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人工审核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将待确认结论集中在一个队列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Inbox / HumanReviewPanel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报告回看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版本、来源和决策 lineage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Library / Artifact detail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失败恢复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外部服务失败时明确阻断并可重试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Work failure screenshots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通知提醒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Bark 状态可观察，失败不改变结论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NotificationStatus / Settings</w:t>
            </w:r>
          </w:p>
        </w:tc>
      </w:tr>
    </w:tbl>
    <w:p>
      <w:pPr>
        <w:spacing w:before="0" w:after="60" w:line="240" w:lineRule="auto"/>
      </w:pP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9.6 Product preview 模块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303632"/>
          <w:sz w:val="21"/>
        </w:rPr>
        <w:t>建议只展示以下 4 组截图：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Work 成功桌面 + 移动端：体现完整链路和响应式。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Inbox 桌面：体现人工审核边界。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Artifact detail 桌面：体现证据、来源和版本。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Provider failure 桌面/移动端：体现 fail-closed 和可读错误。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303632"/>
          <w:sz w:val="21"/>
        </w:rPr>
        <w:t>截图必须标注“本地测试环境/示例数据”，不能标成 production dashboard。</w:t>
      </w:r>
    </w:p>
    <w:p>
      <w:pPr>
        <w:spacing w:before="40" w:after="40" w:line="240" w:lineRule="auto"/>
        <w:pBdr>
          <w:bottom w:val="single" w:sz="6" w:space="1" w:color="D9DDD8"/>
        </w:pBdr>
      </w:pPr>
    </w:p>
    <w:p>
      <w:pPr>
        <w:pStyle w:val="Heading2"/>
        <w:spacing w:before="280" w:after="140" w:line="276" w:lineRule="auto"/>
      </w:pPr>
      <w:r>
        <w:rPr>
          <w:rFonts w:ascii="Arial Unicode MS" w:hAnsi="Arial Unicode MS" w:eastAsia="Arial Unicode MS"/>
          <w:color w:val="315F78"/>
          <w:sz w:val="26"/>
        </w:rPr>
        <w:t>10. 交互与文案验收清单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10.1 必须保留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 xml:space="preserve">每个主要页面持续可见 </w:t>
      </w:r>
      <w:r>
        <w:rPr>
          <w:rFonts w:ascii="Courier New" w:hAnsi="Courier New" w:eastAsia="Arial Unicode MS"/>
          <w:color w:val="315F78"/>
          <w:sz w:val="19"/>
        </w:rPr>
        <w:t>不执行交易</w:t>
      </w:r>
      <w:r>
        <w:rPr>
          <w:rFonts w:ascii="Arial Unicode MS" w:hAnsi="Arial Unicode MS" w:eastAsia="Arial Unicode MS"/>
          <w:color w:val="303632"/>
          <w:sz w:val="20"/>
        </w:rPr>
        <w:t xml:space="preserve"> 或等价 manual-only 提示。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成功、阻断、失败、过期、等待人工确认、通知未知不能共用同一种绿色成功样式。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错误态需要说明：发生了什么、是否可重试、下一步是什么。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断线/刷新后恢复到服务端权威状态，不以旧的本地草稿覆盖新版本。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HITL edit 之后重新执行证据/风险门禁，不能直接把人工修改当成通过。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历史报告必须标明“不可作为当前计划”。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来源 URL、发布时间、抓取时间和来源关系可见；不展示 secret、raw prompt 或内部对象 JSON。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移动端按钮、切换器、输入框、长页分区满足 44px 触控和中文可读性。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10.2 官网需要单独确认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官网面向个人用户、专业交易者、研究团队还是企业买家。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CTA 是公开注册、预约演示、候选名单还是仅展示。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是否对外展示概率、止损、杠杆等个性化字段。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是否需要登录后工作台与官网品牌完全一致，还是分为营销品牌与产品品牌。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“实时”允许的延迟、数据覆盖和 provider 说明。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法务/合规对“决策辅助”“研究工具”“投资建议”的最终用词。</w:t>
      </w:r>
    </w:p>
    <w:p>
      <w:pPr>
        <w:spacing w:before="40" w:after="40" w:line="240" w:lineRule="auto"/>
        <w:pBdr>
          <w:bottom w:val="single" w:sz="6" w:space="1" w:color="D9DDD8"/>
        </w:pBdr>
      </w:pPr>
    </w:p>
    <w:p>
      <w:pPr>
        <w:pStyle w:val="Heading2"/>
        <w:spacing w:before="280" w:after="140" w:line="276" w:lineRule="auto"/>
      </w:pPr>
      <w:r>
        <w:rPr>
          <w:rFonts w:ascii="Arial Unicode MS" w:hAnsi="Arial Unicode MS" w:eastAsia="Arial Unicode MS"/>
          <w:color w:val="315F78"/>
          <w:sz w:val="26"/>
        </w:rPr>
        <w:t>11. 截图图录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303632"/>
          <w:sz w:val="21"/>
        </w:rPr>
        <w:t xml:space="preserve">下面的图片来自仓库当前已有的 Playwright 产物。长图文件名中的 </w:t>
      </w:r>
      <w:r>
        <w:rPr>
          <w:rFonts w:ascii="Courier New" w:hAnsi="Courier New" w:eastAsia="Arial Unicode MS"/>
          <w:color w:val="315F78"/>
          <w:sz w:val="20"/>
        </w:rPr>
        <w:t>fixture</w:t>
      </w:r>
      <w:r>
        <w:rPr>
          <w:rFonts w:ascii="Arial Unicode MS" w:hAnsi="Arial Unicode MS" w:eastAsia="Arial Unicode MS"/>
          <w:color w:val="303632"/>
          <w:sz w:val="21"/>
        </w:rPr>
        <w:t>、</w:t>
      </w:r>
      <w:r>
        <w:rPr>
          <w:rFonts w:ascii="Courier New" w:hAnsi="Courier New" w:eastAsia="Arial Unicode MS"/>
          <w:color w:val="315F78"/>
          <w:sz w:val="20"/>
        </w:rPr>
        <w:t>failure-injection</w:t>
      </w:r>
      <w:r>
        <w:rPr>
          <w:rFonts w:ascii="Arial Unicode MS" w:hAnsi="Arial Unicode MS" w:eastAsia="Arial Unicode MS"/>
          <w:color w:val="303632"/>
          <w:sz w:val="21"/>
        </w:rPr>
        <w:t>、</w:t>
      </w:r>
      <w:r>
        <w:rPr>
          <w:rFonts w:ascii="Courier New" w:hAnsi="Courier New" w:eastAsia="Arial Unicode MS"/>
          <w:color w:val="315F78"/>
          <w:sz w:val="20"/>
        </w:rPr>
        <w:t>real</w:t>
      </w:r>
      <w:r>
        <w:rPr>
          <w:rFonts w:ascii="Arial Unicode MS" w:hAnsi="Arial Unicode MS" w:eastAsia="Arial Unicode MS"/>
          <w:color w:val="303632"/>
          <w:sz w:val="21"/>
        </w:rPr>
        <w:t xml:space="preserve"> 代表测试语境，不代表生产环境；原始图片均保留在 </w:t>
      </w:r>
      <w:r>
        <w:rPr>
          <w:rFonts w:ascii="Courier New" w:hAnsi="Courier New" w:eastAsia="Arial Unicode MS"/>
          <w:color w:val="315F78"/>
          <w:sz w:val="20"/>
        </w:rPr>
        <w:t>frontend/artifacts/</w:t>
      </w:r>
      <w:r>
        <w:rPr>
          <w:rFonts w:ascii="Arial Unicode MS" w:hAnsi="Arial Unicode MS" w:eastAsia="Arial Unicode MS"/>
          <w:color w:val="303632"/>
          <w:sz w:val="21"/>
        </w:rPr>
        <w:t>，本资料包只引用代表性版本。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截图标签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在本资料包中的含义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real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经过本地 Product/Provider 链路的真实浏览器渲染，仍不是 hosted production 证明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fixture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使用固定测试数据验证页面结构、状态和响应式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failure-injection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人工注入外部依赖、数据库或通知失败，用于验证 fail-closed 与恢复体验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full-page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Playwright 深滚动长图；资料包中使用裁切版，原图路径保留</w:t>
            </w:r>
          </w:p>
        </w:tc>
      </w:tr>
    </w:tbl>
    <w:p>
      <w:pPr>
        <w:spacing w:before="0" w:after="60" w:line="240" w:lineRule="auto"/>
      </w:pP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11.1 Work 主流程：成功</w:t>
      </w:r>
    </w:p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4568495"/>
            <wp:docPr id="1" name="Picture 1" descr="Work success desktop" title="Work success deskt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success-desktop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68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rial Unicode MS" w:hAnsi="Arial Unicode MS" w:eastAsia="Arial Unicode MS"/>
          <w:i/>
          <w:color w:val="667069"/>
          <w:sz w:val="17"/>
        </w:rPr>
        <w:t>Work success desktop  ·  资料包裁切图：docs/ui/assets/work-success-desktop-overview.png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b/>
          <w:color w:val="202421"/>
          <w:sz w:val="21"/>
        </w:rPr>
        <w:t>用途</w:t>
      </w:r>
      <w:r>
        <w:rPr>
          <w:rFonts w:ascii="Arial Unicode MS" w:hAnsi="Arial Unicode MS" w:eastAsia="Arial Unicode MS"/>
          <w:color w:val="303632"/>
          <w:sz w:val="21"/>
        </w:rPr>
        <w:t xml:space="preserve">：主工作台桌面端结构参考。包含 Signal Desk 导航、分析完成、Verified Context、Web 来源、Committed Analysis 和分析请求表单。 </w:t>
      </w:r>
      <w:r>
        <w:rPr>
          <w:rFonts w:ascii="Arial Unicode MS" w:hAnsi="Arial Unicode MS" w:eastAsia="Arial Unicode MS"/>
          <w:b/>
          <w:color w:val="202421"/>
          <w:sz w:val="21"/>
        </w:rPr>
        <w:t>原图</w:t>
      </w:r>
      <w:r>
        <w:rPr>
          <w:rFonts w:ascii="Arial Unicode MS" w:hAnsi="Arial Unicode MS" w:eastAsia="Arial Unicode MS"/>
          <w:color w:val="303632"/>
          <w:sz w:val="21"/>
        </w:rPr>
        <w:t>：</w:t>
      </w:r>
      <w:r>
        <w:rPr>
          <w:rFonts w:ascii="Courier New" w:hAnsi="Courier New" w:eastAsia="Arial Unicode MS"/>
          <w:color w:val="315F78"/>
          <w:sz w:val="20"/>
        </w:rPr>
        <w:t>frontend/artifacts/playwright-real/success-desktop.png</w:t>
      </w:r>
      <w:r>
        <w:rPr>
          <w:rFonts w:ascii="Arial Unicode MS" w:hAnsi="Arial Unicode MS" w:eastAsia="Arial Unicode MS"/>
          <w:color w:val="303632"/>
          <w:sz w:val="21"/>
        </w:rPr>
        <w:t xml:space="preserve">（逻辑 viewport 1440×1000 的 full-page 长图） </w:t>
      </w:r>
      <w:r>
        <w:rPr>
          <w:rFonts w:ascii="Arial Unicode MS" w:hAnsi="Arial Unicode MS" w:eastAsia="Arial Unicode MS"/>
          <w:b/>
          <w:color w:val="202421"/>
          <w:sz w:val="21"/>
        </w:rPr>
        <w:t>证据等级</w:t>
      </w:r>
      <w:r>
        <w:rPr>
          <w:rFonts w:ascii="Arial Unicode MS" w:hAnsi="Arial Unicode MS" w:eastAsia="Arial Unicode MS"/>
          <w:color w:val="303632"/>
          <w:sz w:val="21"/>
        </w:rPr>
        <w:t>：本地 real/controlled dependency；不代表 hosted production。</w:t>
      </w:r>
    </w:p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43200" cy="7991856"/>
            <wp:docPr id="2" name="Picture 2" descr="Work success mobile" title="Work success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success-mobile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991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rial Unicode MS" w:hAnsi="Arial Unicode MS" w:eastAsia="Arial Unicode MS"/>
          <w:i/>
          <w:color w:val="667069"/>
          <w:sz w:val="17"/>
        </w:rPr>
        <w:t>Work success mobile  ·  资料包裁切图：docs/ui/assets/work-success-mobile-overview.png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b/>
          <w:color w:val="202421"/>
          <w:sz w:val="21"/>
        </w:rPr>
        <w:t>用途</w:t>
      </w:r>
      <w:r>
        <w:rPr>
          <w:rFonts w:ascii="Arial Unicode MS" w:hAnsi="Arial Unicode MS" w:eastAsia="Arial Unicode MS"/>
          <w:color w:val="303632"/>
          <w:sz w:val="21"/>
        </w:rPr>
        <w:t xml:space="preserve">：移动端顶部导航、单列堆叠、结果长页和表单顺序参考。 </w:t>
      </w:r>
      <w:r>
        <w:rPr>
          <w:rFonts w:ascii="Arial Unicode MS" w:hAnsi="Arial Unicode MS" w:eastAsia="Arial Unicode MS"/>
          <w:b/>
          <w:color w:val="202421"/>
          <w:sz w:val="21"/>
        </w:rPr>
        <w:t>原图</w:t>
      </w:r>
      <w:r>
        <w:rPr>
          <w:rFonts w:ascii="Arial Unicode MS" w:hAnsi="Arial Unicode MS" w:eastAsia="Arial Unicode MS"/>
          <w:color w:val="303632"/>
          <w:sz w:val="21"/>
        </w:rPr>
        <w:t>：</w:t>
      </w:r>
      <w:r>
        <w:rPr>
          <w:rFonts w:ascii="Courier New" w:hAnsi="Courier New" w:eastAsia="Arial Unicode MS"/>
          <w:color w:val="315F78"/>
          <w:sz w:val="20"/>
        </w:rPr>
        <w:t>frontend/artifacts/playwright-real/success-pixel-7.png</w:t>
      </w:r>
      <w:r>
        <w:rPr>
          <w:rFonts w:ascii="Arial Unicode MS" w:hAnsi="Arial Unicode MS" w:eastAsia="Arial Unicode MS"/>
          <w:color w:val="303632"/>
          <w:sz w:val="21"/>
        </w:rPr>
        <w:t xml:space="preserve">（逻辑 viewport 412×915） </w:t>
      </w:r>
      <w:r>
        <w:rPr>
          <w:rFonts w:ascii="Arial Unicode MS" w:hAnsi="Arial Unicode MS" w:eastAsia="Arial Unicode MS"/>
          <w:b/>
          <w:color w:val="202421"/>
          <w:sz w:val="21"/>
        </w:rPr>
        <w:t>证据等级</w:t>
      </w:r>
      <w:r>
        <w:rPr>
          <w:rFonts w:ascii="Arial Unicode MS" w:hAnsi="Arial Unicode MS" w:eastAsia="Arial Unicode MS"/>
          <w:color w:val="303632"/>
          <w:sz w:val="21"/>
        </w:rPr>
        <w:t>：本地 real/controlled dependency。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11.2 人工审核收件箱</w:t>
      </w:r>
    </w:p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935425"/>
            <wp:docPr id="3" name="Picture 3" descr="Inbox desktop" title="Inbox deskt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box-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rial Unicode MS" w:hAnsi="Arial Unicode MS" w:eastAsia="Arial Unicode MS"/>
          <w:i/>
          <w:color w:val="667069"/>
          <w:sz w:val="17"/>
        </w:rPr>
        <w:t>Inbox desktop  ·  资料包裁切图：docs/ui/assets/inbox-desktop.png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b/>
          <w:color w:val="202421"/>
          <w:sz w:val="21"/>
        </w:rPr>
        <w:t>用途</w:t>
      </w:r>
      <w:r>
        <w:rPr>
          <w:rFonts w:ascii="Arial Unicode MS" w:hAnsi="Arial Unicode MS" w:eastAsia="Arial Unicode MS"/>
          <w:color w:val="303632"/>
          <w:sz w:val="21"/>
        </w:rPr>
        <w:t xml:space="preserve">：待处理/已解决/全部 segmented tabs，审核卡片信息层级、有效期和“打开任务”动作参考。 </w:t>
      </w:r>
      <w:r>
        <w:rPr>
          <w:rFonts w:ascii="Arial Unicode MS" w:hAnsi="Arial Unicode MS" w:eastAsia="Arial Unicode MS"/>
          <w:b/>
          <w:color w:val="202421"/>
          <w:sz w:val="21"/>
        </w:rPr>
        <w:t>原图</w:t>
      </w:r>
      <w:r>
        <w:rPr>
          <w:rFonts w:ascii="Arial Unicode MS" w:hAnsi="Arial Unicode MS" w:eastAsia="Arial Unicode MS"/>
          <w:color w:val="303632"/>
          <w:sz w:val="21"/>
        </w:rPr>
        <w:t>：</w:t>
      </w:r>
      <w:r>
        <w:rPr>
          <w:rFonts w:ascii="Courier New" w:hAnsi="Courier New" w:eastAsia="Arial Unicode MS"/>
          <w:color w:val="315F78"/>
          <w:sz w:val="20"/>
        </w:rPr>
        <w:t>frontend/artifacts/playwright-real/inbox-production-desktop.png</w:t>
      </w:r>
      <w:r>
        <w:rPr>
          <w:rFonts w:ascii="Arial Unicode MS" w:hAnsi="Arial Unicode MS" w:eastAsia="Arial Unicode MS"/>
          <w:color w:val="303632"/>
          <w:sz w:val="21"/>
        </w:rPr>
        <w:t xml:space="preserve">（逻辑 viewport 1440×1000） </w:t>
      </w:r>
      <w:r>
        <w:rPr>
          <w:rFonts w:ascii="Arial Unicode MS" w:hAnsi="Arial Unicode MS" w:eastAsia="Arial Unicode MS"/>
          <w:b/>
          <w:color w:val="202421"/>
          <w:sz w:val="21"/>
        </w:rPr>
        <w:t>证据等级</w:t>
      </w:r>
      <w:r>
        <w:rPr>
          <w:rFonts w:ascii="Arial Unicode MS" w:hAnsi="Arial Unicode MS" w:eastAsia="Arial Unicode MS"/>
          <w:color w:val="303632"/>
          <w:sz w:val="21"/>
        </w:rPr>
        <w:t>：本地 real Product flow。</w:t>
      </w:r>
    </w:p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43200" cy="5577840"/>
            <wp:docPr id="4" name="Picture 4" descr="Inbox mobile" title="Inbox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box-mobile-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57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rial Unicode MS" w:hAnsi="Arial Unicode MS" w:eastAsia="Arial Unicode MS"/>
          <w:i/>
          <w:color w:val="667069"/>
          <w:sz w:val="17"/>
        </w:rPr>
        <w:t>Inbox mobile  ·  资料包裁切图：docs/ui/assets/inbox-mobile-overview.png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b/>
          <w:color w:val="202421"/>
          <w:sz w:val="21"/>
        </w:rPr>
        <w:t>用途</w:t>
      </w:r>
      <w:r>
        <w:rPr>
          <w:rFonts w:ascii="Arial Unicode MS" w:hAnsi="Arial Unicode MS" w:eastAsia="Arial Unicode MS"/>
          <w:color w:val="303632"/>
          <w:sz w:val="21"/>
        </w:rPr>
        <w:t xml:space="preserve">：移动端审核卡的两列元数据、摘要、有效期和主操作布局参考。 </w:t>
      </w:r>
      <w:r>
        <w:rPr>
          <w:rFonts w:ascii="Arial Unicode MS" w:hAnsi="Arial Unicode MS" w:eastAsia="Arial Unicode MS"/>
          <w:b/>
          <w:color w:val="202421"/>
          <w:sz w:val="21"/>
        </w:rPr>
        <w:t>原图</w:t>
      </w:r>
      <w:r>
        <w:rPr>
          <w:rFonts w:ascii="Arial Unicode MS" w:hAnsi="Arial Unicode MS" w:eastAsia="Arial Unicode MS"/>
          <w:color w:val="303632"/>
          <w:sz w:val="21"/>
        </w:rPr>
        <w:t>：</w:t>
      </w:r>
      <w:r>
        <w:rPr>
          <w:rFonts w:ascii="Courier New" w:hAnsi="Courier New" w:eastAsia="Arial Unicode MS"/>
          <w:color w:val="315F78"/>
          <w:sz w:val="20"/>
        </w:rPr>
        <w:t>frontend/artifacts/playwright-real/inbox-production-pixel-7.png</w:t>
      </w:r>
      <w:r>
        <w:rPr>
          <w:rFonts w:ascii="Arial Unicode MS" w:hAnsi="Arial Unicode MS" w:eastAsia="Arial Unicode MS"/>
          <w:color w:val="303632"/>
          <w:sz w:val="21"/>
        </w:rPr>
        <w:t xml:space="preserve">（逻辑 viewport 412×915；文件像素宽 1082） </w:t>
      </w:r>
      <w:r>
        <w:rPr>
          <w:rFonts w:ascii="Arial Unicode MS" w:hAnsi="Arial Unicode MS" w:eastAsia="Arial Unicode MS"/>
          <w:b/>
          <w:color w:val="202421"/>
          <w:sz w:val="21"/>
        </w:rPr>
        <w:t>证据等级</w:t>
      </w:r>
      <w:r>
        <w:rPr>
          <w:rFonts w:ascii="Arial Unicode MS" w:hAnsi="Arial Unicode MS" w:eastAsia="Arial Unicode MS"/>
          <w:color w:val="303632"/>
          <w:sz w:val="21"/>
        </w:rPr>
        <w:t>：本地 real Product flow。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11.3 报告与证据详情</w:t>
      </w:r>
    </w:p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5588965"/>
            <wp:docPr id="5" name="Picture 5" descr="Artifact detail" title="Artifact det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fact-detail-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8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rial Unicode MS" w:hAnsi="Arial Unicode MS" w:eastAsia="Arial Unicode MS"/>
          <w:i/>
          <w:color w:val="667069"/>
          <w:sz w:val="17"/>
        </w:rPr>
        <w:t>Artifact detail  ·  资料包裁切图：docs/ui/assets/artifact-detail-overview.png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b/>
          <w:color w:val="202421"/>
          <w:sz w:val="21"/>
        </w:rPr>
        <w:t>用途</w:t>
      </w:r>
      <w:r>
        <w:rPr>
          <w:rFonts w:ascii="Arial Unicode MS" w:hAnsi="Arial Unicode MS" w:eastAsia="Arial Unicode MS"/>
          <w:color w:val="303632"/>
          <w:sz w:val="21"/>
        </w:rPr>
        <w:t xml:space="preserve">：报告版本历史、历史报告警示、交易计划、证据/风险门禁、判断依据和来源区域参考。 </w:t>
      </w:r>
      <w:r>
        <w:rPr>
          <w:rFonts w:ascii="Arial Unicode MS" w:hAnsi="Arial Unicode MS" w:eastAsia="Arial Unicode MS"/>
          <w:b/>
          <w:color w:val="202421"/>
          <w:sz w:val="21"/>
        </w:rPr>
        <w:t>原图</w:t>
      </w:r>
      <w:r>
        <w:rPr>
          <w:rFonts w:ascii="Arial Unicode MS" w:hAnsi="Arial Unicode MS" w:eastAsia="Arial Unicode MS"/>
          <w:color w:val="303632"/>
          <w:sz w:val="21"/>
        </w:rPr>
        <w:t>：</w:t>
      </w:r>
      <w:r>
        <w:rPr>
          <w:rFonts w:ascii="Courier New" w:hAnsi="Courier New" w:eastAsia="Arial Unicode MS"/>
          <w:color w:val="315F78"/>
          <w:sz w:val="20"/>
        </w:rPr>
        <w:t>frontend/artifacts/playwright-real/real-library-artifact-detail-fixture-desktop.png</w:t>
      </w:r>
      <w:r>
        <w:rPr>
          <w:rFonts w:ascii="Arial Unicode MS" w:hAnsi="Arial Unicode MS" w:eastAsia="Arial Unicode MS"/>
          <w:color w:val="303632"/>
          <w:sz w:val="21"/>
        </w:rPr>
        <w:t xml:space="preserve"> </w:t>
      </w:r>
      <w:r>
        <w:rPr>
          <w:rFonts w:ascii="Arial Unicode MS" w:hAnsi="Arial Unicode MS" w:eastAsia="Arial Unicode MS"/>
          <w:b/>
          <w:color w:val="202421"/>
          <w:sz w:val="21"/>
        </w:rPr>
        <w:t>证据等级</w:t>
      </w:r>
      <w:r>
        <w:rPr>
          <w:rFonts w:ascii="Arial Unicode MS" w:hAnsi="Arial Unicode MS" w:eastAsia="Arial Unicode MS"/>
          <w:color w:val="303632"/>
          <w:sz w:val="21"/>
        </w:rPr>
        <w:t>：fixture/local；适合做信息架构参考，不代表生产数据。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11.4 失败与 fail-closed</w:t>
      </w:r>
    </w:p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935425"/>
            <wp:docPr id="6" name="Picture 6" descr="Provider failure" title="Provider fail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der-failure-desk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rial Unicode MS" w:hAnsi="Arial Unicode MS" w:eastAsia="Arial Unicode MS"/>
          <w:i/>
          <w:color w:val="667069"/>
          <w:sz w:val="17"/>
        </w:rPr>
        <w:t>Provider failure  ·  资料包裁切图：docs/ui/assets/provider-failure-desktop.png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b/>
          <w:color w:val="202421"/>
          <w:sz w:val="21"/>
        </w:rPr>
        <w:t>用途</w:t>
      </w:r>
      <w:r>
        <w:rPr>
          <w:rFonts w:ascii="Arial Unicode MS" w:hAnsi="Arial Unicode MS" w:eastAsia="Arial Unicode MS"/>
          <w:color w:val="303632"/>
          <w:sz w:val="21"/>
        </w:rPr>
        <w:t xml:space="preserve">：外部数据服务失败时的错误层级、关联 ID、Provider、不可生成结果和可重试路径参考。 </w:t>
      </w:r>
      <w:r>
        <w:rPr>
          <w:rFonts w:ascii="Arial Unicode MS" w:hAnsi="Arial Unicode MS" w:eastAsia="Arial Unicode MS"/>
          <w:b/>
          <w:color w:val="202421"/>
          <w:sz w:val="21"/>
        </w:rPr>
        <w:t>原图</w:t>
      </w:r>
      <w:r>
        <w:rPr>
          <w:rFonts w:ascii="Arial Unicode MS" w:hAnsi="Arial Unicode MS" w:eastAsia="Arial Unicode MS"/>
          <w:color w:val="303632"/>
          <w:sz w:val="21"/>
        </w:rPr>
        <w:t>：</w:t>
      </w:r>
      <w:r>
        <w:rPr>
          <w:rFonts w:ascii="Courier New" w:hAnsi="Courier New" w:eastAsia="Arial Unicode MS"/>
          <w:color w:val="315F78"/>
          <w:sz w:val="20"/>
        </w:rPr>
        <w:t>frontend/artifacts/playwright-real/provider-failure-okx_unavailable-failure-injection-desktop.png</w:t>
      </w:r>
      <w:r>
        <w:rPr>
          <w:rFonts w:ascii="Arial Unicode MS" w:hAnsi="Arial Unicode MS" w:eastAsia="Arial Unicode MS"/>
          <w:color w:val="303632"/>
          <w:sz w:val="21"/>
        </w:rPr>
        <w:t xml:space="preserve"> </w:t>
      </w:r>
      <w:r>
        <w:rPr>
          <w:rFonts w:ascii="Arial Unicode MS" w:hAnsi="Arial Unicode MS" w:eastAsia="Arial Unicode MS"/>
          <w:b/>
          <w:color w:val="202421"/>
          <w:sz w:val="21"/>
        </w:rPr>
        <w:t>证据等级</w:t>
      </w:r>
      <w:r>
        <w:rPr>
          <w:rFonts w:ascii="Arial Unicode MS" w:hAnsi="Arial Unicode MS" w:eastAsia="Arial Unicode MS"/>
          <w:color w:val="303632"/>
          <w:sz w:val="21"/>
        </w:rPr>
        <w:t>：failure-injection QA；不是线上故障截图。</w:t>
      </w:r>
    </w:p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43200" cy="5196840"/>
            <wp:docPr id="7" name="Picture 7" descr="Provider failure mobile" title="Provider failure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der-failure-mobile-over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196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rial Unicode MS" w:hAnsi="Arial Unicode MS" w:eastAsia="Arial Unicode MS"/>
          <w:i/>
          <w:color w:val="667069"/>
          <w:sz w:val="17"/>
        </w:rPr>
        <w:t>Provider failure mobile  ·  资料包裁切图：docs/ui/assets/provider-failure-mobile-overview.png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b/>
          <w:color w:val="202421"/>
          <w:sz w:val="21"/>
        </w:rPr>
        <w:t>用途</w:t>
      </w:r>
      <w:r>
        <w:rPr>
          <w:rFonts w:ascii="Arial Unicode MS" w:hAnsi="Arial Unicode MS" w:eastAsia="Arial Unicode MS"/>
          <w:color w:val="303632"/>
          <w:sz w:val="21"/>
        </w:rPr>
        <w:t xml:space="preserve">：移动端失败 banner、诊断展开入口和表单仍可见的布局参考。 </w:t>
      </w:r>
      <w:r>
        <w:rPr>
          <w:rFonts w:ascii="Arial Unicode MS" w:hAnsi="Arial Unicode MS" w:eastAsia="Arial Unicode MS"/>
          <w:b/>
          <w:color w:val="202421"/>
          <w:sz w:val="21"/>
        </w:rPr>
        <w:t>原图</w:t>
      </w:r>
      <w:r>
        <w:rPr>
          <w:rFonts w:ascii="Arial Unicode MS" w:hAnsi="Arial Unicode MS" w:eastAsia="Arial Unicode MS"/>
          <w:color w:val="303632"/>
          <w:sz w:val="21"/>
        </w:rPr>
        <w:t>：</w:t>
      </w:r>
      <w:r>
        <w:rPr>
          <w:rFonts w:ascii="Courier New" w:hAnsi="Courier New" w:eastAsia="Arial Unicode MS"/>
          <w:color w:val="315F78"/>
          <w:sz w:val="20"/>
        </w:rPr>
        <w:t>frontend/artifacts/playwright-real/provider-failure-okx_unavailable-failure-injection-pixel-7.png</w:t>
      </w:r>
      <w:r>
        <w:rPr>
          <w:rFonts w:ascii="Arial Unicode MS" w:hAnsi="Arial Unicode MS" w:eastAsia="Arial Unicode MS"/>
          <w:color w:val="303632"/>
          <w:sz w:val="21"/>
        </w:rPr>
        <w:t xml:space="preserve"> </w:t>
      </w:r>
      <w:r>
        <w:rPr>
          <w:rFonts w:ascii="Arial Unicode MS" w:hAnsi="Arial Unicode MS" w:eastAsia="Arial Unicode MS"/>
          <w:b/>
          <w:color w:val="202421"/>
          <w:sz w:val="21"/>
        </w:rPr>
        <w:t>证据等级</w:t>
      </w:r>
      <w:r>
        <w:rPr>
          <w:rFonts w:ascii="Arial Unicode MS" w:hAnsi="Arial Unicode MS" w:eastAsia="Arial Unicode MS"/>
          <w:color w:val="303632"/>
          <w:sz w:val="21"/>
        </w:rPr>
        <w:t>：failure-injection QA。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11.5 其他可用截图资源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主题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文件模式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成功/短版 Work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frontend/artifacts/playwright/work-success-fixture-*.png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运行详情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frontend/artifacts/playwright-real/real-library-run-detail-fixture-*.png</w:t>
            </w:r>
            <w:r>
              <w:rPr>
                <w:rFonts w:ascii="Arial Unicode MS" w:hAnsi="Arial Unicode MS" w:eastAsia="Arial Unicode MS"/>
                <w:color w:val="303632"/>
                <w:sz w:val="19"/>
              </w:rPr>
              <w:t>、</w:t>
            </w:r>
            <w:r>
              <w:rPr>
                <w:rFonts w:ascii="Courier New" w:hAnsi="Courier New" w:eastAsia="Arial Unicode MS"/>
                <w:color w:val="315F78"/>
                <w:sz w:val="18"/>
              </w:rPr>
              <w:t>real-run-detail-pixel-7.png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搜索失败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provider-failure-search_unavailable-*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模型结构化输出失败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provider-failure-model_invalid_output-*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通知失败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provider-failure-notification_failure-*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数据库回滚失败/恢复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database-rollback-failed-*</w:t>
            </w:r>
            <w:r>
              <w:rPr>
                <w:rFonts w:ascii="Arial Unicode MS" w:hAnsi="Arial Unicode MS" w:eastAsia="Arial Unicode MS"/>
                <w:color w:val="303632"/>
                <w:sz w:val="19"/>
              </w:rPr>
              <w:t>、</w:t>
            </w:r>
            <w:r>
              <w:rPr>
                <w:rFonts w:ascii="Courier New" w:hAnsi="Courier New" w:eastAsia="Arial Unicode MS"/>
                <w:color w:val="315F78"/>
                <w:sz w:val="18"/>
              </w:rPr>
              <w:t>database-rollback-recovered-*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流断开重连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official-stream-failed-reattach-desktop.png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历史 fork 面板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Courier New" w:hAnsi="Courier New" w:eastAsia="Arial Unicode MS"/>
                <w:color w:val="315F78"/>
                <w:sz w:val="18"/>
              </w:rPr>
              <w:t>frontend/tests/e2e-v2/real-fork-flow.spec.ts-snapshots/historical-fork-panel-fixture-*.png</w:t>
            </w:r>
            <w:r>
              <w:rPr>
                <w:rFonts w:ascii="Arial Unicode MS" w:hAnsi="Arial Unicode MS" w:eastAsia="Arial Unicode MS"/>
                <w:color w:val="303632"/>
                <w:sz w:val="19"/>
              </w:rPr>
              <w:t>（历史 fixture）</w:t>
            </w:r>
          </w:p>
        </w:tc>
      </w:tr>
    </w:tbl>
    <w:p>
      <w:pPr>
        <w:spacing w:before="0" w:after="60" w:line="240" w:lineRule="auto"/>
      </w:pPr>
    </w:p>
    <w:p>
      <w:pPr>
        <w:spacing w:before="40" w:after="40" w:line="240" w:lineRule="auto"/>
        <w:pBdr>
          <w:bottom w:val="single" w:sz="6" w:space="1" w:color="D9DDD8"/>
        </w:pBdr>
      </w:pPr>
    </w:p>
    <w:p>
      <w:pPr>
        <w:pStyle w:val="Heading2"/>
        <w:spacing w:before="280" w:after="140" w:line="276" w:lineRule="auto"/>
      </w:pPr>
      <w:r>
        <w:rPr>
          <w:rFonts w:ascii="Arial Unicode MS" w:hAnsi="Arial Unicode MS" w:eastAsia="Arial Unicode MS"/>
          <w:color w:val="315F78"/>
          <w:sz w:val="26"/>
        </w:rPr>
        <w:t>12. 给 UI 组的交付建议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12.1 先做的页面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官网首屏与 How it works。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Evidence / Risk / Manual-only 信任模块。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Work 成功、阻断、失败、等待人工确认四套状态。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Inbox 审核卡桌面/移动端。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Library / Artifact detail 的报告与来源结构。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12.2 可以复用的内容资产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 xml:space="preserve">Signal Desk 品牌名、副标题 </w:t>
      </w:r>
      <w:r>
        <w:rPr>
          <w:rFonts w:ascii="Courier New" w:hAnsi="Courier New" w:eastAsia="Arial Unicode MS"/>
          <w:color w:val="315F78"/>
          <w:sz w:val="19"/>
        </w:rPr>
        <w:t>Decision workspace</w:t>
      </w:r>
      <w:r>
        <w:rPr>
          <w:rFonts w:ascii="Arial Unicode MS" w:hAnsi="Arial Unicode MS" w:eastAsia="Arial Unicode MS"/>
          <w:color w:val="303632"/>
          <w:sz w:val="20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现有视觉 token、状态色和 Lucide 图标方向。</w:t>
      </w:r>
    </w:p>
    <w:p>
      <w:pPr>
        <w:pStyle w:val="ListBullet"/>
        <w:spacing w:before="0" w:after="80" w:line="300" w:lineRule="auto"/>
      </w:pPr>
      <w:r>
        <w:rPr>
          <w:rFonts w:ascii="Courier New" w:hAnsi="Courier New" w:eastAsia="Arial Unicode MS"/>
          <w:color w:val="315F78"/>
          <w:sz w:val="19"/>
        </w:rPr>
        <w:t>Evidence gate / Risk gate / Audit trail</w:t>
      </w:r>
      <w:r>
        <w:rPr>
          <w:rFonts w:ascii="Arial Unicode MS" w:hAnsi="Arial Unicode MS" w:eastAsia="Arial Unicode MS"/>
          <w:color w:val="303632"/>
          <w:sz w:val="20"/>
        </w:rPr>
        <w:t xml:space="preserve"> 三段式叙事。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真实页面中的字段：行情摘要、Web source、动作、概率、TTL、证据缺失项、阻断原因、来源关系、通知状态。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本资料包中的截图裁切版和原始截图路径。</w:t>
      </w:r>
    </w:p>
    <w:p>
      <w:pPr>
        <w:pStyle w:val="Heading3"/>
        <w:spacing w:before="200" w:after="100" w:line="276" w:lineRule="auto"/>
      </w:pPr>
      <w:r>
        <w:rPr>
          <w:rFonts w:ascii="Arial Unicode MS" w:hAnsi="Arial Unicode MS" w:eastAsia="Arial Unicode MS"/>
          <w:color w:val="202421"/>
          <w:sz w:val="23"/>
        </w:rPr>
        <w:t>12.3 不应直接复用的内容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任何真实 key、endpoint secret、原始 prompt/completion、内部 trace ID 或数据库 ID。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用于测试的 provider failure、fixture 新闻、示例价格作为“实时生产数据”。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“AI 自动帮你交易”“高胜率”“稳赚”“零风险”等承诺。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尚未落地的 Deep Research、Monitors、Outcome、Workspace/Admin 作为已上线功能。</w:t>
      </w:r>
    </w:p>
    <w:p>
      <w:pPr>
        <w:spacing w:before="40" w:after="40" w:line="240" w:lineRule="auto"/>
        <w:pBdr>
          <w:bottom w:val="single" w:sz="6" w:space="1" w:color="D9DDD8"/>
        </w:pBdr>
      </w:pPr>
    </w:p>
    <w:p>
      <w:pPr>
        <w:pStyle w:val="Heading2"/>
        <w:spacing w:before="280" w:after="140" w:line="276" w:lineRule="auto"/>
      </w:pPr>
      <w:r>
        <w:rPr>
          <w:rFonts w:ascii="Arial Unicode MS" w:hAnsi="Arial Unicode MS" w:eastAsia="Arial Unicode MS"/>
          <w:color w:val="315F78"/>
          <w:sz w:val="26"/>
        </w:rPr>
        <w:t>13. 待确认问题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优先级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问题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E8EEF5" w:val="clear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Arial Unicode MS" w:hAnsi="Arial Unicode MS" w:eastAsia="Arial Unicode MS"/>
                <w:b/>
                <w:color w:val="202421"/>
                <w:sz w:val="19"/>
              </w:rPr>
              <w:t>影响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官网面向谁，CTA 是什么？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决定信息架构、语气、首屏和转化路径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是否允许对外展示个性化交易字段（概率/止损/杠杆）？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决定截图裁切、文案和合规审核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当前对外品牌继续使用 Signal Desk 吗？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决定 Logo、域名、品牌系统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产品上线阶段是内部测试、邀请制还是公开注册？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决定“进入工作台/预约演示/候选名单”CTA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P1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V2 规划页面中，Monitors、Deep Research、Outcome 哪个优先？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决定官网功能模块排序和后续产品 UI 投入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P1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是否需要独立的 docs / trust / security 页面？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决定内容资产和导航深度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P1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Bark 之外的通知渠道是否进入官网叙事？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决定通知模块是否只写“可选提醒”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P2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工作台与官网是否共用一套导航和视觉密度？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9DDD8"/>
              <w:left w:val="single" w:sz="6" w:space="0" w:color="D9DDD8"/>
              <w:bottom w:val="single" w:sz="6" w:space="0" w:color="D9DDD8"/>
              <w:right w:val="single" w:sz="6" w:space="0" w:color="D9DDD8"/>
              <w:insideH w:val="single" w:sz="6" w:space="0" w:color="D9DDD8"/>
              <w:insideV w:val="single" w:sz="6" w:space="0" w:color="D9DDD8"/>
            </w:tcBorders>
            <w:shd w:fill="FFFFFF" w:val="clear"/>
          </w:tcPr>
          <w:p>
            <w:pPr>
              <w:spacing w:before="0" w:after="0" w:line="276" w:lineRule="auto"/>
            </w:pPr>
            <w:r/>
            <w:r>
              <w:rPr>
                <w:rFonts w:ascii="Arial Unicode MS" w:hAnsi="Arial Unicode MS" w:eastAsia="Arial Unicode MS"/>
                <w:color w:val="303632"/>
                <w:sz w:val="19"/>
              </w:rPr>
              <w:t>决定产品 UI 与 marketing UI 的品牌边界</w:t>
            </w:r>
          </w:p>
        </w:tc>
      </w:tr>
    </w:tbl>
    <w:p>
      <w:pPr>
        <w:spacing w:before="0" w:after="60" w:line="240" w:lineRule="auto"/>
      </w:pPr>
    </w:p>
    <w:p>
      <w:pPr>
        <w:spacing w:before="40" w:after="40" w:line="240" w:lineRule="auto"/>
        <w:pBdr>
          <w:bottom w:val="single" w:sz="6" w:space="1" w:color="D9DDD8"/>
        </w:pBdr>
      </w:pPr>
    </w:p>
    <w:p>
      <w:pPr>
        <w:pStyle w:val="Heading2"/>
        <w:spacing w:before="280" w:after="140" w:line="276" w:lineRule="auto"/>
      </w:pPr>
      <w:r>
        <w:rPr>
          <w:rFonts w:ascii="Arial Unicode MS" w:hAnsi="Arial Unicode MS" w:eastAsia="Arial Unicode MS"/>
          <w:color w:val="315F78"/>
          <w:sz w:val="26"/>
        </w:rPr>
        <w:t>14. 代码与文档索引（便于继续核对）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应用壳与导航：</w:t>
      </w:r>
      <w:r>
        <w:rPr>
          <w:rFonts w:ascii="Courier New" w:hAnsi="Courier New" w:eastAsia="Arial Unicode MS"/>
          <w:color w:val="315F78"/>
          <w:sz w:val="19"/>
        </w:rPr>
        <w:t>frontend/src/components/app-shell.tsx</w:t>
      </w:r>
      <w:r>
        <w:rPr>
          <w:rFonts w:ascii="Arial Unicode MS" w:hAnsi="Arial Unicode MS" w:eastAsia="Arial Unicode MS"/>
          <w:color w:val="303632"/>
          <w:sz w:val="20"/>
        </w:rPr>
        <w:t>、</w:t>
      </w:r>
      <w:r>
        <w:rPr>
          <w:rFonts w:ascii="Courier New" w:hAnsi="Courier New" w:eastAsia="Arial Unicode MS"/>
          <w:color w:val="315F78"/>
          <w:sz w:val="19"/>
        </w:rPr>
        <w:t>frontend/src/components/primary-navigation.tsx</w:t>
      </w:r>
      <w:r>
        <w:rPr>
          <w:rFonts w:ascii="Arial Unicode MS" w:hAnsi="Arial Unicode MS" w:eastAsia="Arial Unicode MS"/>
          <w:color w:val="303632"/>
          <w:sz w:val="20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全局视觉 token：</w:t>
      </w:r>
      <w:r>
        <w:rPr>
          <w:rFonts w:ascii="Courier New" w:hAnsi="Courier New" w:eastAsia="Arial Unicode MS"/>
          <w:color w:val="315F78"/>
          <w:sz w:val="19"/>
        </w:rPr>
        <w:t>frontend/src/app/globals.css</w:t>
      </w:r>
      <w:r>
        <w:rPr>
          <w:rFonts w:ascii="Arial Unicode MS" w:hAnsi="Arial Unicode MS" w:eastAsia="Arial Unicode MS"/>
          <w:color w:val="303632"/>
          <w:sz w:val="20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Work 主流程：</w:t>
      </w:r>
      <w:r>
        <w:rPr>
          <w:rFonts w:ascii="Courier New" w:hAnsi="Courier New" w:eastAsia="Arial Unicode MS"/>
          <w:color w:val="315F78"/>
          <w:sz w:val="19"/>
        </w:rPr>
        <w:t>frontend/src/features/work/work-surface.tsx</w:t>
      </w:r>
      <w:r>
        <w:rPr>
          <w:rFonts w:ascii="Arial Unicode MS" w:hAnsi="Arial Unicode MS" w:eastAsia="Arial Unicode MS"/>
          <w:color w:val="303632"/>
          <w:sz w:val="20"/>
        </w:rPr>
        <w:t>、</w:t>
      </w:r>
      <w:r>
        <w:rPr>
          <w:rFonts w:ascii="Courier New" w:hAnsi="Courier New" w:eastAsia="Arial Unicode MS"/>
          <w:color w:val="315F78"/>
          <w:sz w:val="19"/>
        </w:rPr>
        <w:t>human-review-panel.tsx</w:t>
      </w:r>
      <w:r>
        <w:rPr>
          <w:rFonts w:ascii="Arial Unicode MS" w:hAnsi="Arial Unicode MS" w:eastAsia="Arial Unicode MS"/>
          <w:color w:val="303632"/>
          <w:sz w:val="20"/>
        </w:rPr>
        <w:t>、</w:t>
      </w:r>
      <w:r>
        <w:rPr>
          <w:rFonts w:ascii="Courier New" w:hAnsi="Courier New" w:eastAsia="Arial Unicode MS"/>
          <w:color w:val="315F78"/>
          <w:sz w:val="19"/>
        </w:rPr>
        <w:t>task-fork-panel.tsx</w:t>
      </w:r>
      <w:r>
        <w:rPr>
          <w:rFonts w:ascii="Arial Unicode MS" w:hAnsi="Arial Unicode MS" w:eastAsia="Arial Unicode MS"/>
          <w:color w:val="303632"/>
          <w:sz w:val="20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结果与证据：</w:t>
      </w:r>
      <w:r>
        <w:rPr>
          <w:rFonts w:ascii="Courier New" w:hAnsi="Courier New" w:eastAsia="Arial Unicode MS"/>
          <w:color w:val="315F78"/>
          <w:sz w:val="19"/>
        </w:rPr>
        <w:t>frontend/src/features/analysis/analysis-result.tsx</w:t>
      </w:r>
      <w:r>
        <w:rPr>
          <w:rFonts w:ascii="Arial Unicode MS" w:hAnsi="Arial Unicode MS" w:eastAsia="Arial Unicode MS"/>
          <w:color w:val="303632"/>
          <w:sz w:val="20"/>
        </w:rPr>
        <w:t>、</w:t>
      </w:r>
      <w:r>
        <w:rPr>
          <w:rFonts w:ascii="Courier New" w:hAnsi="Courier New" w:eastAsia="Arial Unicode MS"/>
          <w:color w:val="315F78"/>
          <w:sz w:val="19"/>
        </w:rPr>
        <w:t>analysis-projection.tsx</w:t>
      </w:r>
      <w:r>
        <w:rPr>
          <w:rFonts w:ascii="Arial Unicode MS" w:hAnsi="Arial Unicode MS" w:eastAsia="Arial Unicode MS"/>
          <w:color w:val="303632"/>
          <w:sz w:val="20"/>
        </w:rPr>
        <w:t>、</w:t>
      </w:r>
      <w:r>
        <w:rPr>
          <w:rFonts w:ascii="Courier New" w:hAnsi="Courier New" w:eastAsia="Arial Unicode MS"/>
          <w:color w:val="315F78"/>
          <w:sz w:val="19"/>
        </w:rPr>
        <w:t>research-evidence.tsx</w:t>
      </w:r>
      <w:r>
        <w:rPr>
          <w:rFonts w:ascii="Arial Unicode MS" w:hAnsi="Arial Unicode MS" w:eastAsia="Arial Unicode MS"/>
          <w:color w:val="303632"/>
          <w:sz w:val="20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首页：</w:t>
      </w:r>
      <w:r>
        <w:rPr>
          <w:rFonts w:ascii="Courier New" w:hAnsi="Courier New" w:eastAsia="Arial Unicode MS"/>
          <w:color w:val="315F78"/>
          <w:sz w:val="19"/>
        </w:rPr>
        <w:t>frontend/src/features/home/home-surface.tsx</w:t>
      </w:r>
      <w:r>
        <w:rPr>
          <w:rFonts w:ascii="Arial Unicode MS" w:hAnsi="Arial Unicode MS" w:eastAsia="Arial Unicode MS"/>
          <w:color w:val="303632"/>
          <w:sz w:val="20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收件箱：</w:t>
      </w:r>
      <w:r>
        <w:rPr>
          <w:rFonts w:ascii="Courier New" w:hAnsi="Courier New" w:eastAsia="Arial Unicode MS"/>
          <w:color w:val="315F78"/>
          <w:sz w:val="19"/>
        </w:rPr>
        <w:t>frontend/src/features/inbox/inbox-surface.tsx</w:t>
      </w:r>
      <w:r>
        <w:rPr>
          <w:rFonts w:ascii="Arial Unicode MS" w:hAnsi="Arial Unicode MS" w:eastAsia="Arial Unicode MS"/>
          <w:color w:val="303632"/>
          <w:sz w:val="20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Runs/Library/Artifact：</w:t>
      </w:r>
      <w:r>
        <w:rPr>
          <w:rFonts w:ascii="Courier New" w:hAnsi="Courier New" w:eastAsia="Arial Unicode MS"/>
          <w:color w:val="315F78"/>
          <w:sz w:val="19"/>
        </w:rPr>
        <w:t>frontend/src/features/runs/</w:t>
      </w:r>
      <w:r>
        <w:rPr>
          <w:rFonts w:ascii="Arial Unicode MS" w:hAnsi="Arial Unicode MS" w:eastAsia="Arial Unicode MS"/>
          <w:color w:val="303632"/>
          <w:sz w:val="20"/>
        </w:rPr>
        <w:t>、</w:t>
      </w:r>
      <w:r>
        <w:rPr>
          <w:rFonts w:ascii="Courier New" w:hAnsi="Courier New" w:eastAsia="Arial Unicode MS"/>
          <w:color w:val="315F78"/>
          <w:sz w:val="19"/>
        </w:rPr>
        <w:t>frontend/src/features/library/</w:t>
      </w:r>
      <w:r>
        <w:rPr>
          <w:rFonts w:ascii="Arial Unicode MS" w:hAnsi="Arial Unicode MS" w:eastAsia="Arial Unicode MS"/>
          <w:color w:val="303632"/>
          <w:sz w:val="20"/>
        </w:rPr>
        <w:t>、</w:t>
      </w:r>
      <w:r>
        <w:rPr>
          <w:rFonts w:ascii="Courier New" w:hAnsi="Courier New" w:eastAsia="Arial Unicode MS"/>
          <w:color w:val="315F78"/>
          <w:sz w:val="19"/>
        </w:rPr>
        <w:t>frontend/src/features/artifacts/</w:t>
      </w:r>
      <w:r>
        <w:rPr>
          <w:rFonts w:ascii="Arial Unicode MS" w:hAnsi="Arial Unicode MS" w:eastAsia="Arial Unicode MS"/>
          <w:color w:val="303632"/>
          <w:sz w:val="20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通知与设置：</w:t>
      </w:r>
      <w:r>
        <w:rPr>
          <w:rFonts w:ascii="Courier New" w:hAnsi="Courier New" w:eastAsia="Arial Unicode MS"/>
          <w:color w:val="315F78"/>
          <w:sz w:val="19"/>
        </w:rPr>
        <w:t>frontend/src/features/notifications/notification-status.tsx</w:t>
      </w:r>
      <w:r>
        <w:rPr>
          <w:rFonts w:ascii="Arial Unicode MS" w:hAnsi="Arial Unicode MS" w:eastAsia="Arial Unicode MS"/>
          <w:color w:val="303632"/>
          <w:sz w:val="20"/>
        </w:rPr>
        <w:t>、</w:t>
      </w:r>
      <w:r>
        <w:rPr>
          <w:rFonts w:ascii="Courier New" w:hAnsi="Courier New" w:eastAsia="Arial Unicode MS"/>
          <w:color w:val="315F78"/>
          <w:sz w:val="19"/>
        </w:rPr>
        <w:t>frontend/src/features/settings/notification-settings-surface.tsx</w:t>
      </w:r>
      <w:r>
        <w:rPr>
          <w:rFonts w:ascii="Arial Unicode MS" w:hAnsi="Arial Unicode MS" w:eastAsia="Arial Unicode MS"/>
          <w:color w:val="303632"/>
          <w:sz w:val="20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Product API 路由：</w:t>
      </w:r>
      <w:r>
        <w:rPr>
          <w:rFonts w:ascii="Courier New" w:hAnsi="Courier New" w:eastAsia="Arial Unicode MS"/>
          <w:color w:val="315F78"/>
          <w:sz w:val="19"/>
        </w:rPr>
        <w:t>backend/src/crypto_alert_v2/api/app.py</w:t>
      </w:r>
      <w:r>
        <w:rPr>
          <w:rFonts w:ascii="Arial Unicode MS" w:hAnsi="Arial Unicode MS" w:eastAsia="Arial Unicode MS"/>
          <w:color w:val="303632"/>
          <w:sz w:val="20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Product DTO/schema：</w:t>
      </w:r>
      <w:r>
        <w:rPr>
          <w:rFonts w:ascii="Courier New" w:hAnsi="Courier New" w:eastAsia="Arial Unicode MS"/>
          <w:color w:val="315F78"/>
          <w:sz w:val="19"/>
        </w:rPr>
        <w:t>frontend/src/lib/schemas/product-api.ts</w:t>
      </w:r>
      <w:r>
        <w:rPr>
          <w:rFonts w:ascii="Arial Unicode MS" w:hAnsi="Arial Unicode MS" w:eastAsia="Arial Unicode MS"/>
          <w:color w:val="303632"/>
          <w:sz w:val="20"/>
        </w:rPr>
        <w:t>、</w:t>
      </w:r>
      <w:r>
        <w:rPr>
          <w:rFonts w:ascii="Courier New" w:hAnsi="Courier New" w:eastAsia="Arial Unicode MS"/>
          <w:color w:val="315F78"/>
          <w:sz w:val="19"/>
        </w:rPr>
        <w:t>backend/src/crypto_alert_v2/api/schemas.py</w:t>
      </w:r>
      <w:r>
        <w:rPr>
          <w:rFonts w:ascii="Arial Unicode MS" w:hAnsi="Arial Unicode MS" w:eastAsia="Arial Unicode MS"/>
          <w:color w:val="303632"/>
          <w:sz w:val="20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产品与架构规范：</w:t>
      </w:r>
      <w:r>
        <w:rPr>
          <w:rFonts w:ascii="Courier New" w:hAnsi="Courier New" w:eastAsia="Arial Unicode MS"/>
          <w:color w:val="315F78"/>
          <w:sz w:val="19"/>
        </w:rPr>
        <w:t>docs/v2/01-v2-product-and-architecture.md</w:t>
      </w:r>
      <w:r>
        <w:rPr>
          <w:rFonts w:ascii="Arial Unicode MS" w:hAnsi="Arial Unicode MS" w:eastAsia="Arial Unicode MS"/>
          <w:color w:val="303632"/>
          <w:sz w:val="20"/>
        </w:rPr>
        <w:t>、</w:t>
      </w:r>
      <w:r>
        <w:rPr>
          <w:rFonts w:ascii="Courier New" w:hAnsi="Courier New" w:eastAsia="Arial Unicode MS"/>
          <w:color w:val="315F78"/>
          <w:sz w:val="19"/>
        </w:rPr>
        <w:t>docs/v2/06-c-end-agent-product-blueprint.md</w:t>
      </w:r>
      <w:r>
        <w:rPr>
          <w:rFonts w:ascii="Arial Unicode MS" w:hAnsi="Arial Unicode MS" w:eastAsia="Arial Unicode MS"/>
          <w:color w:val="303632"/>
          <w:sz w:val="20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303632"/>
          <w:sz w:val="20"/>
        </w:rPr>
        <w:t>状态与证明边界：</w:t>
      </w:r>
      <w:r>
        <w:rPr>
          <w:rFonts w:ascii="Courier New" w:hAnsi="Courier New" w:eastAsia="Arial Unicode MS"/>
          <w:color w:val="315F78"/>
          <w:sz w:val="19"/>
        </w:rPr>
        <w:t>docs/v2/15-v2-implementation-status.md</w:t>
      </w:r>
      <w:r>
        <w:rPr>
          <w:rFonts w:ascii="Arial Unicode MS" w:hAnsi="Arial Unicode MS" w:eastAsia="Arial Unicode MS"/>
          <w:color w:val="303632"/>
          <w:sz w:val="20"/>
        </w:rPr>
        <w:t>、</w:t>
      </w:r>
      <w:r>
        <w:rPr>
          <w:rFonts w:ascii="Courier New" w:hAnsi="Courier New" w:eastAsia="Arial Unicode MS"/>
          <w:color w:val="315F78"/>
          <w:sz w:val="19"/>
        </w:rPr>
        <w:t>docs/v2/18-v2-execution-ledger.md</w:t>
      </w:r>
      <w:r>
        <w:rPr>
          <w:rFonts w:ascii="Arial Unicode MS" w:hAnsi="Arial Unicode MS" w:eastAsia="Arial Unicode MS"/>
          <w:color w:val="303632"/>
          <w:sz w:val="20"/>
        </w:rPr>
        <w:t>。</w:t>
      </w:r>
    </w:p>
    <w:p>
      <w:pPr>
        <w:spacing w:before="40" w:after="40" w:line="240" w:lineRule="auto"/>
        <w:pBdr>
          <w:bottom w:val="single" w:sz="6" w:space="1" w:color="D9DDD8"/>
        </w:pBdr>
      </w:pPr>
    </w:p>
    <w:p>
      <w:pPr>
        <w:pStyle w:val="Heading2"/>
        <w:spacing w:before="280" w:after="140" w:line="276" w:lineRule="auto"/>
      </w:pPr>
      <w:r>
        <w:rPr>
          <w:rFonts w:ascii="Arial Unicode MS" w:hAnsi="Arial Unicode MS" w:eastAsia="Arial Unicode MS"/>
          <w:color w:val="315F78"/>
          <w:sz w:val="26"/>
        </w:rPr>
        <w:t>15. 版本说明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303632"/>
          <w:sz w:val="21"/>
        </w:rPr>
        <w:t>本资料包是对当前工作树的设计资料整理，不是产品 PRD 的替代品，也不是生产发布证明。代码、规范文档和实际部署状态可能继续变化；下一次 UI 评审前建议重新核对：当前导航、截图数据、V2 状态文档、对外合规文案和官网 CTA。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 Unicode MS" w:hAnsi="Arial Unicode MS" w:eastAsia="Arial Unicode MS"/>
        <w:color w:val="667069"/>
        <w:sz w:val="17"/>
      </w:rPr>
      <w:t xml:space="preserve">Internal handoff  ·  2026-07-17  ·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rial Unicode MS" w:hAnsi="Arial Unicode MS" w:eastAsia="Arial Unicode MS"/>
        <w:b/>
        <w:color w:val="667069"/>
        <w:sz w:val="17"/>
      </w:rPr>
      <w:t>Signal Desk  |  UI Design Materials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color w:val="3036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F6B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0242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