
<file path=[Content_Types].xml><?xml version="1.0" encoding="utf-8"?>
<Types xmlns="http://schemas.openxmlformats.org/package/2006/content-types">
  <Default Extension="png" ContentType="image/pn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header1.xml" ContentType="application/vnd.openxmlformats-officedocument.wordprocessingml.header+xml"/>
  <Override PartName="/docProps/core.xml" ContentType="application/vnd.openxmlformats-package.core-properties+xml"/>
  <Override PartName="/word/styles.xml" ContentType="application/vnd.openxmlformats-officedocument.wordprocessingml.styles+xml"/>
  <Override PartName="/word/header3.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footer1.xml" ContentType="application/vnd.openxmlformats-officedocument.wordprocessingml.footer+xml"/>
  <Override PartName="/word/header2.xml" ContentType="application/vnd.openxmlformats-officedocument.wordprocessingml.header+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01"/>
        <w:pBdr/>
        <w:snapToGrid w:val="1"/>
        <w:spacing w:before="340" w:after="330" w:line="576"/>
        <w:ind w:left="0" w:right="0"/>
        <w:jc w:val="both"/>
        <w:rPr>
          <w:rFonts w:ascii="宋体" w:hAnsi="宋体" w:eastAsia="宋体" w:cs="宋体"/>
          <w:b w:val="1"/>
          <w:i w:val="0"/>
          <w:strike w:val="0"/>
          <w:color w:val="000000"/>
          <w:spacing w:val="0"/>
          <w:sz w:val="48"/>
          <w:u w:val="none"/>
          <w:shd w:val="clear" w:color="auto" w:fill="FFFFFF"/>
        </w:rPr>
      </w:pPr>
      <w:bookmarkStart w:id="1" w:name="_Toc48665315"/>
    </w:p>
    <w:p>
      <w:pPr>
        <w:pStyle w:val="000001"/>
        <w:pBdr/>
        <w:snapToGrid w:val="1"/>
        <w:spacing w:before="340" w:after="330" w:line="576"/>
        <w:ind w:left="0" w:right="0"/>
        <w:jc w:val="center"/>
        <w:rPr>
          <w:rFonts w:hint="eastAsia" w:ascii="宋体" w:hAnsi="宋体" w:eastAsia="宋体" w:cs="宋体"/>
          <w:b w:val="1"/>
          <w:i w:val="0"/>
          <w:strike w:val="0"/>
          <w:color w:val="000000"/>
          <w:spacing w:val="0"/>
          <w:sz w:val="40"/>
          <w:u w:val="none"/>
          <w:shd w:val="clear" w:color="auto" w:fill="FFFFFF"/>
        </w:rPr>
      </w:pPr>
      <w:r>
        <w:rPr>
          <w:rFonts w:hint="eastAsia" w:ascii="宋体" w:hAnsi="宋体" w:eastAsia="宋体" w:cs="宋体"/>
          <w:b w:val="1"/>
          <w:i w:val="0"/>
          <w:strike w:val="0"/>
          <w:color w:val="000000"/>
          <w:spacing w:val="0"/>
          <w:sz w:val="40"/>
          <w:u w:val="none"/>
          <w:shd w:val="clear" w:color="auto" w:fill="FFFFFF"/>
        </w:rPr>
        <w:t>2026年中国青年科技创新“揭榜挂帅”擂台赛</w:t>
      </w:r>
    </w:p>
    <w:p>
      <w:pPr>
        <w:pStyle w:val="000001"/>
        <w:pBdr>
          <w:bottom/>
        </w:pBdr>
        <w:snapToGrid w:val="1"/>
        <w:spacing w:before="340" w:after="330" w:line="576"/>
        <w:ind w:left="0" w:right="0"/>
        <w:jc w:val="center"/>
        <w:rPr>
          <w:rFonts w:ascii="宋体" w:hAnsi="宋体" w:eastAsia="宋体" w:cs="宋体"/>
          <w:b w:val="1"/>
          <w:i w:val="0"/>
          <w:strike w:val="0"/>
          <w:color w:val="000000"/>
          <w:spacing w:val="0"/>
          <w:sz w:val="40"/>
          <w:u w:val="none"/>
          <w:shd w:val="clear" w:color="auto" w:fill="FFFFFF"/>
        </w:rPr>
      </w:pPr>
      <w:r>
        <w:rPr>
          <w:rFonts w:hint="eastAsia" w:ascii="宋体" w:hAnsi="宋体" w:eastAsia="宋体" w:cs="宋体"/>
          <w:b w:val="1"/>
          <w:i w:val="0"/>
          <w:strike w:val="0"/>
          <w:color w:val="000000"/>
          <w:spacing w:val="0"/>
          <w:sz w:val="40"/>
          <w:u w:val="none"/>
          <w:shd w:val="clear" w:color="auto" w:fill="FFFFFF"/>
        </w:rPr>
        <w:t>学生赛道</w:t>
      </w:r>
    </w:p>
    <w:p>
      <w:pPr>
        <w:pStyle w:val="000001"/>
        <w:numPr/>
        <w:pBdr/>
        <w:ind/>
        <w:jc w:val="center"/>
        <w:rPr>
          <w:rFonts w:ascii="宋体" w:hAnsi="宋体" w:eastAsia="宋体" w:cs="宋体"/>
          <w:b w:val="1"/>
          <w:sz w:val="28"/>
        </w:rPr>
      </w:pPr>
    </w:p>
    <w:p>
      <w:pPr>
        <w:pBdr/>
        <w:snapToGrid w:val="1"/>
        <w:spacing w:after="240" w:line="240"/>
        <w:ind w:hanging="0"/>
        <w:rPr>
          <w:rFonts w:ascii="Chinese Quote" w:hAnsi="Chinese Quote" w:eastAsia="Chinese Quote" w:cs="Chinese Quote"/>
          <w:i w:val="0"/>
          <w:strike w:val="0"/>
          <w:color w:val="000000"/>
          <w:spacing w:val="0"/>
          <w:sz w:val="21"/>
          <w:u w:val="none"/>
          <w:shd w:val="clear" w:color="auto" w:fill="FFFFFF"/>
        </w:rPr>
      </w:pPr>
    </w:p>
    <w:p>
      <w:pPr>
        <w:pBdr/>
        <w:snapToGrid w:val="1"/>
        <w:spacing w:after="240" w:line="240"/>
        <w:ind w:hanging="0"/>
        <w:rPr>
          <w:rFonts w:ascii="Chinese Quote" w:hAnsi="Chinese Quote" w:eastAsia="Chinese Quote" w:cs="Chinese Quote"/>
          <w:i w:val="0"/>
          <w:strike w:val="0"/>
          <w:color w:val="000000"/>
          <w:spacing w:val="0"/>
          <w:sz w:val="21"/>
          <w:u w:val="none"/>
          <w:shd w:val="clear" w:color="auto" w:fill="FFFFFF"/>
        </w:rPr>
      </w:pPr>
    </w:p>
    <w:p>
      <w:pPr>
        <w:pStyle w:val="000001"/>
        <w:numPr/>
        <w:pBdr/>
        <w:ind/>
        <w:jc w:val="center"/>
        <w:rPr>
          <w:rFonts w:ascii="宋体" w:hAnsi="宋体" w:eastAsia="宋体" w:cs="宋体"/>
          <w:b w:val="0"/>
          <w:sz w:val="24"/>
          <w:u w:val="single"/>
        </w:rPr>
      </w:pPr>
      <w:r>
        <w:rPr>
          <w:rFonts w:hint="eastAsia" w:ascii="宋体" w:hAnsi="宋体" w:eastAsia="宋体" w:cs="宋体"/>
          <w:b w:val="0"/>
          <w:sz w:val="24"/>
        </w:rPr>
        <w:t>赛题</w:t>
      </w:r>
      <w:r>
        <w:rPr>
          <w:rFonts w:ascii="宋体" w:hAnsi="宋体" w:eastAsia="宋体" w:cs="宋体"/>
          <w:b w:val="0"/>
          <w:sz w:val="24"/>
        </w:rPr>
        <w:t>：</w:t>
      </w:r>
      <w:r>
        <w:rPr>
          <w:rFonts w:hint="eastAsia" w:ascii="宋体" w:hAnsi="宋体" w:eastAsia="宋体" w:cs="宋体"/>
          <w:b w:val="0"/>
          <w:sz w:val="24"/>
          <w:u w:val="single"/>
        </w:rPr>
        <w:t>XH-202619 基于国产开源大模型的AI Scientist技术研发与示范应用</w:t>
      </w:r>
    </w:p>
    <w:p>
      <w:pPr>
        <w:pStyle w:val="000001"/>
        <w:numPr/>
        <w:pBdr/>
        <w:ind/>
        <w:jc w:val="both"/>
        <w:rPr>
          <w:rFonts w:ascii="宋体" w:hAnsi="宋体" w:eastAsia="宋体" w:cs="宋体"/>
          <w:b w:val="0"/>
          <w:sz w:val="28"/>
        </w:rPr>
      </w:pPr>
    </w:p>
    <w:p>
      <w:pPr>
        <w:pStyle w:val="000001"/>
        <w:numPr/>
        <w:pBdr/>
        <w:ind/>
        <w:jc w:val="center"/>
        <w:rPr>
          <w:rFonts w:ascii="宋体" w:hAnsi="宋体" w:eastAsia="宋体" w:cs="宋体"/>
          <w:b w:val="1"/>
          <w:sz w:val="28"/>
          <w:u w:val="single"/>
        </w:rPr>
      </w:pPr>
      <w:r>
        <w:rPr>
          <w:rFonts w:ascii="宋体" w:hAnsi="宋体" w:eastAsia="宋体" w:cs="宋体"/>
          <w:b w:val="1"/>
          <w:sz w:val="28"/>
        </w:rPr>
        <w:t>项目名称：</w:t>
      </w:r>
      <w:r>
        <w:rPr>
          <w:rFonts w:ascii="宋体" w:hAnsi="宋体" w:eastAsia="宋体" w:cs="宋体"/>
          <w:b w:val="1"/>
          <w:sz w:val="28"/>
          <w:u w:val="single"/>
        </w:rPr>
        <w:t>启真Scientist：面向化学的知识—实验闭环智能系统</w:t>
      </w:r>
    </w:p>
    <w:p>
      <w:pPr>
        <w:pStyle w:val="000001"/>
        <w:numPr/>
        <w:pBdr/>
        <w:ind/>
        <w:jc w:val="center"/>
        <w:rPr>
          <w:rFonts w:ascii="宋体" w:hAnsi="宋体" w:eastAsia="宋体" w:cs="宋体"/>
          <w:b w:val="1"/>
          <w:sz w:val="28"/>
          <w:u w:val="single"/>
        </w:rPr>
      </w:pPr>
    </w:p>
    <w:p>
      <w:pPr>
        <w:pStyle w:val="000001"/>
        <w:numPr/>
        <w:pBdr/>
        <w:ind/>
        <w:jc w:val="center"/>
        <w:rPr>
          <w:rFonts w:ascii="宋体" w:hAnsi="宋体" w:eastAsia="宋体" w:cs="宋体"/>
          <w:b w:val="1"/>
          <w:sz w:val="28"/>
          <w:u w:val="single"/>
        </w:rPr>
      </w:pPr>
    </w:p>
    <w:p>
      <w:pPr>
        <w:pStyle w:val="000001"/>
        <w:numPr/>
        <w:pBdr/>
        <w:ind/>
        <w:jc w:val="center"/>
        <w:rPr>
          <w:rFonts w:ascii="宋体" w:hAnsi="宋体" w:eastAsia="宋体" w:cs="宋体"/>
          <w:b w:val="1"/>
          <w:sz w:val="28"/>
          <w:u w:val="single"/>
        </w:rPr>
      </w:pPr>
    </w:p>
    <w:p>
      <w:pPr>
        <w:pStyle w:val="000001"/>
        <w:numPr/>
        <w:pBdr/>
        <w:ind/>
        <w:jc w:val="center"/>
        <w:rPr>
          <w:rFonts w:ascii="宋体" w:hAnsi="宋体" w:eastAsia="宋体" w:cs="宋体"/>
          <w:b w:val="1"/>
          <w:sz w:val="28"/>
          <w:u w:val="single"/>
        </w:rPr>
      </w:pPr>
    </w:p>
    <w:p>
      <w:pPr>
        <w:pStyle w:val="000001"/>
        <w:numPr/>
        <w:pBdr/>
        <w:ind/>
        <w:jc w:val="center"/>
        <w:rPr>
          <w:rFonts w:ascii="宋体" w:hAnsi="宋体" w:eastAsia="宋体" w:cs="宋体"/>
          <w:b w:val="1"/>
          <w:sz w:val="28"/>
          <w:u w:val="single"/>
        </w:rPr>
      </w:pPr>
    </w:p>
    <w:p>
      <w:pPr>
        <w:pStyle w:val="000001"/>
        <w:numPr/>
        <w:pBdr/>
        <w:ind/>
        <w:jc w:val="center"/>
        <w:rPr>
          <w:rFonts w:ascii="宋体" w:hAnsi="宋体" w:eastAsia="宋体" w:cs="宋体"/>
          <w:b w:val="1"/>
          <w:sz w:val="28"/>
          <w:u w:val="single"/>
        </w:rPr>
      </w:pPr>
    </w:p>
    <w:p>
      <w:pPr>
        <w:pStyle w:val="000001"/>
        <w:numPr/>
        <w:pBdr/>
        <w:ind/>
        <w:jc w:val="center"/>
        <w:rPr>
          <w:rFonts w:ascii="宋体" w:hAnsi="宋体" w:eastAsia="宋体" w:cs="宋体"/>
          <w:b w:val="1"/>
          <w:sz w:val="28"/>
          <w:u w:val="single"/>
        </w:rPr>
      </w:pPr>
    </w:p>
    <w:p>
      <w:pPr>
        <w:pStyle w:val="000001"/>
        <w:numPr/>
        <w:pBdr/>
        <w:ind/>
        <w:jc w:val="center"/>
        <w:rPr>
          <w:rFonts w:ascii="宋体" w:hAnsi="宋体" w:eastAsia="宋体" w:cs="宋体"/>
          <w:b w:val="1"/>
          <w:sz w:val="28"/>
          <w:u w:val="single"/>
        </w:rPr>
      </w:pPr>
    </w:p>
    <w:p>
      <w:pPr>
        <w:pStyle w:val="000001"/>
        <w:numPr/>
        <w:pBdr/>
        <w:ind/>
        <w:jc w:val="center"/>
        <w:rPr>
          <w:rFonts w:ascii="宋体" w:hAnsi="宋体" w:eastAsia="宋体" w:cs="宋体"/>
          <w:b w:val="1"/>
          <w:sz w:val="28"/>
          <w:u w:val="single"/>
        </w:rPr>
      </w:pPr>
    </w:p>
    <w:p>
      <w:pPr>
        <w:pStyle w:val="000001"/>
        <w:numPr/>
        <w:pBdr/>
        <w:ind/>
        <w:jc w:val="center"/>
        <w:rPr>
          <w:rFonts w:ascii="宋体" w:hAnsi="宋体" w:eastAsia="宋体" w:cs="宋体"/>
          <w:b w:val="1"/>
          <w:sz w:val="28"/>
          <w:u w:val="single"/>
        </w:rPr>
      </w:pPr>
    </w:p>
    <w:p>
      <w:pPr>
        <w:pStyle w:val="000001"/>
        <w:numPr/>
        <w:pBdr/>
        <w:ind/>
        <w:jc w:val="center"/>
        <w:rPr>
          <w:rFonts w:ascii="宋体" w:hAnsi="宋体" w:eastAsia="宋体" w:cs="宋体"/>
          <w:b w:val="1"/>
          <w:sz w:val="28"/>
          <w:u w:val="single"/>
        </w:rPr>
      </w:pPr>
    </w:p>
    <w:p>
      <w:pPr>
        <w:pStyle w:val="000001"/>
        <w:numPr/>
        <w:pBdr/>
        <w:ind/>
        <w:jc w:val="center"/>
        <w:rPr>
          <w:rFonts w:ascii="宋体" w:hAnsi="宋体" w:eastAsia="宋体" w:cs="宋体"/>
          <w:b w:val="1"/>
          <w:sz w:val="28"/>
          <w:u w:val="none"/>
        </w:rPr>
      </w:pPr>
      <w:r>
        <w:rPr>
          <w:rFonts w:hint="eastAsia" w:ascii="宋体" w:hAnsi="宋体" w:eastAsia="宋体" w:cs="宋体"/>
          <w:b w:val="1"/>
          <w:sz w:val="28"/>
          <w:u w:val="none"/>
        </w:rPr>
        <w:t>2026</w:t>
      </w:r>
      <w:r>
        <w:rPr>
          <w:rFonts w:hint="eastAsia" w:ascii="宋体" w:hAnsi="宋体" w:eastAsia="宋体" w:cs="宋体"/>
          <w:b w:val="1"/>
          <w:sz w:val="28"/>
          <w:u w:val="none"/>
        </w:rPr>
        <w:t>年9月4日</w:t>
      </w:r>
    </w:p>
    <w:p>
      <w:pPr>
        <w:pStyle w:val="000001"/>
        <w:pBdr/>
        <w:snapToGrid w:val="1"/>
        <w:spacing w:before="340" w:after="330" w:line="576"/>
        <w:ind w:left="0" w:right="0"/>
        <w:jc w:val="both"/>
        <w:rPr>
          <w:rFonts w:hint="eastAsia"/>
        </w:rPr>
      </w:pPr>
    </w:p>
    <w:p>
      <w:pPr>
        <w:pStyle w:val="000001"/>
        <w:snapToGrid w:val="1"/>
        <w:spacing w:before="340" w:after="330" w:line="576"/>
        <w:ind w:left="0" w:right="0"/>
        <w:jc w:val="both"/>
        <w:rPr/>
        <w:sectPr w:rsidR="009E7FC9">
          <w:headerReference r:id="rId7" w:type="even"/>
          <w:headerReference r:id="rId6" w:type="first"/>
          <w:headerReference r:id="rId5" w:type="default"/>
          <w:footerReference r:id="rId10" w:type="first"/>
          <w:footerReference r:id="rId9" w:type="default"/>
          <w:footerReference r:id="rId8" w:type="even"/>
          <w:pgSz w:w="11906" w:h="16838"/>
          <w:pgMar w:top="1440" w:right="1797" w:bottom="1440" w:left="1797" w:header="851" w:footer="992" w:gutter="0"/>
          <w:pgNumType w:fmt="decimal" w:chapStyle="1" w:chapSep="hyphen"/>
          <w:cols w:space="0"/>
          <w:docGrid w:type="lines" w:linePitch="387"/>
        </w:sectPr>
      </w:pPr>
    </w:p>
    <w:p>
      <w:pPr>
        <w:pStyle w:val="000002"/>
        <w:pBdr/>
        <w:snapToGrid w:val="1"/>
        <w:spacing w:before="340" w:after="330" w:line="576"/>
        <w:ind w:left="0" w:right="0"/>
        <w:jc w:val="center"/>
        <w:rPr>
          <w:rFonts w:hint="eastAsia" w:ascii="宋体" w:hAnsi="宋体" w:eastAsia="宋体" w:cs="宋体"/>
          <w:i w:val="0"/>
          <w:strike w:val="0"/>
          <w:color w:val="000000"/>
          <w:sz w:val="44"/>
          <w:u w:val="none"/>
        </w:rPr>
      </w:pPr>
      <w:bookmarkStart w:id="2" w:name="_Tocj05m4q"/>
      <w:bookmarkStart w:id="3" w:name="_Tocz7omls"/>
      <w:bookmarkStart w:id="4" w:name="_Tocivxuat"/>
      <w:bookmarkStart w:id="5" w:name="_Tocpjrape"/>
      <w:bookmarkStart w:id="6" w:name="_Tocyu4ttd"/>
      <w:bookmarkStart w:id="7" w:name="_Toc4fdycj"/>
      <w:bookmarkStart w:id="8" w:name="_Tocrhkfik"/>
      <w:r>
        <w:rPr>
          <w:rFonts w:hint="eastAsia" w:ascii="宋体" w:hAnsi="宋体" w:eastAsia="宋体" w:cs="宋体"/>
          <w:i w:val="0"/>
          <w:strike w:val="0"/>
          <w:color w:val="000000"/>
          <w:sz w:val="44"/>
          <w:u w:val="none"/>
        </w:rPr>
        <w:t>目录</w:t>
      </w:r>
      <w:bookmarkEnd w:id="2"/>
      <w:bookmarkEnd w:id="3"/>
      <w:bookmarkEnd w:id="4"/>
      <w:bookmarkEnd w:id="5"/>
      <w:bookmarkEnd w:id="6"/>
      <w:bookmarkEnd w:id="7"/>
      <w:bookmarkEnd w:id="8"/>
    </w:p>
    <w:p>
      <w:pPr>
        <w:pStyle w:val="zg3yfq"/>
        <w:tabs>
          <w:tab w:val="right" w:leader="dot" w:pos="8312"/>
        </w:tabs>
        <w:rPr/>
      </w:pPr>
      <w:bookmarkStart w:id="9" w:name="_Tock72pcd"/>
      <w:r>
        <w:rPr/>
        <w:fldChar w:fldCharType="begin"/>
      </w:r>
      <w:r>
        <w:rPr/>
        <w:instrText>TOC \u \o "1-3" \z \h \tdkey bs4zkg</w:instrText>
      </w:r>
      <w:r>
        <w:rPr/>
        <w:fldChar w:fldCharType="separate"/>
      </w:r>
      <w:r>
        <w:rPr/>
        <w:fldChar w:fldCharType="begin"/>
      </w:r>
      <w:r>
        <w:rPr/>
        <w:instrText>HYPERLINK \l "_Tocrhkfik"</w:instrText>
      </w:r>
      <w:r>
        <w:rPr/>
        <w:fldChar w:fldCharType="separate"/>
      </w:r>
      <w:r>
        <w:rPr>
          <w:rFonts w:hint="eastAsia" w:ascii="宋体" w:hAnsi="宋体" w:eastAsia="宋体" w:cs="宋体"/>
          <w:i w:val="0"/>
          <w:strike w:val="0"/>
          <w:shd/>
        </w:rPr>
        <w:t>目录</w:t>
      </w:r>
      <w:r>
        <w:rPr/>
        <w:tab/>
      </w:r>
      <w:r>
        <w:rPr/>
        <w:fldChar w:fldCharType="begin"/>
      </w:r>
      <w:r>
        <w:rPr/>
        <w:instrText>PAGEREF _Tocrhkfik \h \tdkey 4wjpxl</w:instrText>
      </w:r>
      <w:r>
        <w:rPr/>
        <w:fldChar w:fldCharType="separate"/>
      </w:r>
      <w:r>
        <w:rPr/>
        <w:t>2</w:t>
      </w:r>
      <w:r>
        <w:rPr/>
        <w:fldChar w:fldCharType="end"/>
      </w:r>
      <w:r>
        <w:rPr/>
        <w:fldChar w:fldCharType="end"/>
      </w:r>
    </w:p>
    <w:p>
      <w:pPr>
        <w:pStyle w:val="zg3yfq"/>
        <w:tabs>
          <w:tab w:val="right" w:leader="dot" w:pos="8312"/>
        </w:tabs>
        <w:rPr/>
      </w:pPr>
      <w:r>
        <w:rPr/>
        <w:fldChar w:fldCharType="begin"/>
      </w:r>
      <w:r>
        <w:rPr/>
        <w:instrText>HYPERLINK \l "_Toco783um"</w:instrText>
      </w:r>
      <w:r>
        <w:rPr/>
        <w:fldChar w:fldCharType="separate"/>
      </w:r>
      <w:r>
        <w:rPr>
          <w:rFonts w:hint="eastAsia"/>
          <w:shd/>
        </w:rPr>
        <w:t>1 作品信息与核心结果</w:t>
      </w:r>
      <w:r>
        <w:rPr/>
        <w:tab/>
      </w:r>
      <w:r>
        <w:rPr/>
        <w:fldChar w:fldCharType="begin"/>
      </w:r>
      <w:r>
        <w:rPr/>
        <w:instrText>PAGEREF _Toco783um \h \tdkey rp3wzo</w:instrText>
      </w:r>
      <w:r>
        <w:rPr/>
        <w:fldChar w:fldCharType="separate"/>
      </w:r>
      <w:r>
        <w:rPr/>
        <w:t>4</w:t>
      </w:r>
      <w:r>
        <w:rPr/>
        <w:fldChar w:fldCharType="end"/>
      </w:r>
      <w:r>
        <w:rPr/>
        <w:fldChar w:fldCharType="end"/>
      </w:r>
    </w:p>
    <w:p>
      <w:pPr>
        <w:pStyle w:val="tjrwaj"/>
        <w:tabs>
          <w:tab w:val="right" w:leader="dot" w:pos="8312"/>
        </w:tabs>
        <w:rPr/>
      </w:pPr>
      <w:r>
        <w:rPr/>
        <w:fldChar w:fldCharType="begin"/>
      </w:r>
      <w:r>
        <w:rPr/>
        <w:instrText>HYPERLINK \l "_Tocjsbqel"</w:instrText>
      </w:r>
      <w:r>
        <w:rPr/>
        <w:fldChar w:fldCharType="separate"/>
      </w:r>
      <w:r>
        <w:rPr>
          <w:rFonts w:hint="eastAsia"/>
          <w:shd/>
        </w:rPr>
        <w:t>1.1 参赛团队信息</w:t>
      </w:r>
      <w:r>
        <w:rPr/>
        <w:tab/>
      </w:r>
      <w:r>
        <w:rPr/>
        <w:fldChar w:fldCharType="begin"/>
      </w:r>
      <w:r>
        <w:rPr/>
        <w:instrText>PAGEREF _Tocjsbqel \h \tdkey s5o0lc</w:instrText>
      </w:r>
      <w:r>
        <w:rPr/>
        <w:fldChar w:fldCharType="separate"/>
      </w:r>
      <w:r>
        <w:rPr/>
        <w:t>4</w:t>
      </w:r>
      <w:r>
        <w:rPr/>
        <w:fldChar w:fldCharType="end"/>
      </w:r>
      <w:r>
        <w:rPr/>
        <w:fldChar w:fldCharType="end"/>
      </w:r>
    </w:p>
    <w:p>
      <w:pPr>
        <w:pStyle w:val="tjrwaj"/>
        <w:tabs>
          <w:tab w:val="right" w:leader="dot" w:pos="8312"/>
        </w:tabs>
        <w:rPr/>
      </w:pPr>
      <w:r>
        <w:rPr/>
        <w:fldChar w:fldCharType="begin"/>
      </w:r>
      <w:r>
        <w:rPr/>
        <w:instrText>HYPERLINK \l "_Toc19232w"</w:instrText>
      </w:r>
      <w:r>
        <w:rPr/>
        <w:fldChar w:fldCharType="separate"/>
      </w:r>
      <w:r>
        <w:rPr>
          <w:rFonts w:hint="eastAsia"/>
          <w:shd/>
        </w:rPr>
        <w:t>1.2 作品基本信息/最终交付内容</w:t>
      </w:r>
      <w:r>
        <w:rPr/>
        <w:tab/>
      </w:r>
      <w:r>
        <w:rPr/>
        <w:fldChar w:fldCharType="begin"/>
      </w:r>
      <w:r>
        <w:rPr/>
        <w:instrText>PAGEREF _Toc19232w \h \tdkey w7pgjh</w:instrText>
      </w:r>
      <w:r>
        <w:rPr/>
        <w:fldChar w:fldCharType="separate"/>
      </w:r>
      <w:r>
        <w:rPr/>
        <w:t>4</w:t>
      </w:r>
      <w:r>
        <w:rPr/>
        <w:fldChar w:fldCharType="end"/>
      </w:r>
      <w:r>
        <w:rPr/>
        <w:fldChar w:fldCharType="end"/>
      </w:r>
    </w:p>
    <w:p>
      <w:pPr>
        <w:pStyle w:val="tjrwaj"/>
        <w:tabs>
          <w:tab w:val="right" w:leader="dot" w:pos="8312"/>
        </w:tabs>
        <w:rPr/>
      </w:pPr>
      <w:r>
        <w:rPr/>
        <w:fldChar w:fldCharType="begin"/>
      </w:r>
      <w:r>
        <w:rPr/>
        <w:instrText>HYPERLINK \l "_Toc0ontxi"</w:instrText>
      </w:r>
      <w:r>
        <w:rPr/>
        <w:fldChar w:fldCharType="separate"/>
      </w:r>
      <w:r>
        <w:rPr>
          <w:rFonts w:hint="eastAsia"/>
          <w:shd/>
        </w:rPr>
        <w:t>1.3 本作品核心主张</w:t>
      </w:r>
      <w:r>
        <w:rPr/>
        <w:tab/>
      </w:r>
      <w:r>
        <w:rPr/>
        <w:fldChar w:fldCharType="begin"/>
      </w:r>
      <w:r>
        <w:rPr/>
        <w:instrText>PAGEREF _Toc0ontxi \h \tdkey 50m16l</w:instrText>
      </w:r>
      <w:r>
        <w:rPr/>
        <w:fldChar w:fldCharType="separate"/>
      </w:r>
      <w:r>
        <w:rPr/>
        <w:t>5</w:t>
      </w:r>
      <w:r>
        <w:rPr/>
        <w:fldChar w:fldCharType="end"/>
      </w:r>
      <w:r>
        <w:rPr/>
        <w:fldChar w:fldCharType="end"/>
      </w:r>
    </w:p>
    <w:p>
      <w:pPr>
        <w:pStyle w:val="zg3yfq"/>
        <w:tabs>
          <w:tab w:val="right" w:leader="dot" w:pos="8312"/>
        </w:tabs>
        <w:rPr/>
      </w:pPr>
      <w:r>
        <w:rPr/>
        <w:fldChar w:fldCharType="begin"/>
      </w:r>
      <w:r>
        <w:rPr/>
        <w:instrText>HYPERLINK \l "_Toc3kq6jd"</w:instrText>
      </w:r>
      <w:r>
        <w:rPr/>
        <w:fldChar w:fldCharType="separate"/>
      </w:r>
      <w:r>
        <w:rPr>
          <w:rFonts w:hint="eastAsia"/>
          <w:shd/>
        </w:rPr>
        <w:t>2 项目概况</w:t>
      </w:r>
      <w:r>
        <w:rPr/>
        <w:tab/>
      </w:r>
      <w:r>
        <w:rPr/>
        <w:fldChar w:fldCharType="begin"/>
      </w:r>
      <w:r>
        <w:rPr/>
        <w:instrText>PAGEREF _Toc3kq6jd \h \tdkey 9b3efk</w:instrText>
      </w:r>
      <w:r>
        <w:rPr/>
        <w:fldChar w:fldCharType="separate"/>
      </w:r>
      <w:r>
        <w:rPr/>
        <w:t>5</w:t>
      </w:r>
      <w:r>
        <w:rPr/>
        <w:fldChar w:fldCharType="end"/>
      </w:r>
      <w:r>
        <w:rPr/>
        <w:fldChar w:fldCharType="end"/>
      </w:r>
    </w:p>
    <w:p>
      <w:pPr>
        <w:pStyle w:val="tjrwaj"/>
        <w:tabs>
          <w:tab w:val="right" w:leader="dot" w:pos="8312"/>
        </w:tabs>
        <w:rPr/>
      </w:pPr>
      <w:r>
        <w:rPr/>
        <w:fldChar w:fldCharType="begin"/>
      </w:r>
      <w:r>
        <w:rPr/>
        <w:instrText>HYPERLINK \l "_Tocsf5l2w"</w:instrText>
      </w:r>
      <w:r>
        <w:rPr/>
        <w:fldChar w:fldCharType="separate"/>
      </w:r>
      <w:r>
        <w:rPr>
          <w:rFonts w:hint="eastAsia"/>
          <w:shd/>
        </w:rPr>
        <w:t>2.1 背景和基础</w:t>
      </w:r>
      <w:r>
        <w:rPr/>
        <w:tab/>
      </w:r>
      <w:r>
        <w:rPr/>
        <w:fldChar w:fldCharType="begin"/>
      </w:r>
      <w:r>
        <w:rPr/>
        <w:instrText>PAGEREF _Tocsf5l2w \h \tdkey iiuywp</w:instrText>
      </w:r>
      <w:r>
        <w:rPr/>
        <w:fldChar w:fldCharType="separate"/>
      </w:r>
      <w:r>
        <w:rPr/>
        <w:t>5</w:t>
      </w:r>
      <w:r>
        <w:rPr/>
        <w:fldChar w:fldCharType="end"/>
      </w:r>
      <w:r>
        <w:rPr/>
        <w:fldChar w:fldCharType="end"/>
      </w:r>
    </w:p>
    <w:p>
      <w:pPr>
        <w:pStyle w:val="tjrwaj"/>
        <w:tabs>
          <w:tab w:val="right" w:leader="dot" w:pos="8312"/>
        </w:tabs>
        <w:rPr/>
      </w:pPr>
      <w:r>
        <w:rPr/>
        <w:fldChar w:fldCharType="begin"/>
      </w:r>
      <w:r>
        <w:rPr/>
        <w:instrText>HYPERLINK \l "_Tocfhe5wm"</w:instrText>
      </w:r>
      <w:r>
        <w:rPr/>
        <w:fldChar w:fldCharType="separate"/>
      </w:r>
      <w:r>
        <w:rPr>
          <w:rFonts w:hint="eastAsia"/>
          <w:shd/>
        </w:rPr>
        <w:t>2.2 国内外研究现状</w:t>
      </w:r>
      <w:r>
        <w:rPr/>
        <w:tab/>
      </w:r>
      <w:r>
        <w:rPr/>
        <w:fldChar w:fldCharType="begin"/>
      </w:r>
      <w:r>
        <w:rPr/>
        <w:instrText>PAGEREF _Tocfhe5wm \h \tdkey wwtigc</w:instrText>
      </w:r>
      <w:r>
        <w:rPr/>
        <w:fldChar w:fldCharType="separate"/>
      </w:r>
      <w:r>
        <w:rPr/>
        <w:t>7</w:t>
      </w:r>
      <w:r>
        <w:rPr/>
        <w:fldChar w:fldCharType="end"/>
      </w:r>
      <w:r>
        <w:rPr/>
        <w:fldChar w:fldCharType="end"/>
      </w:r>
    </w:p>
    <w:p>
      <w:pPr>
        <w:pStyle w:val="vao1v0"/>
        <w:tabs>
          <w:tab w:val="right" w:leader="dot" w:pos="8312"/>
        </w:tabs>
        <w:rPr/>
      </w:pPr>
      <w:r>
        <w:rPr/>
        <w:fldChar w:fldCharType="begin"/>
      </w:r>
      <w:r>
        <w:rPr/>
        <w:instrText>HYPERLINK \l "_Tocmyddxg"</w:instrText>
      </w:r>
      <w:r>
        <w:rPr/>
        <w:fldChar w:fldCharType="separate"/>
      </w:r>
      <w:r>
        <w:rPr>
          <w:rFonts w:hint="eastAsia"/>
          <w:shd/>
        </w:rPr>
        <w:t>2.2.1 AI科学家</w:t>
      </w:r>
      <w:r>
        <w:rPr/>
        <w:tab/>
      </w:r>
      <w:r>
        <w:rPr/>
        <w:fldChar w:fldCharType="begin"/>
      </w:r>
      <w:r>
        <w:rPr/>
        <w:instrText>PAGEREF _Tocmyddxg \h \tdkey 2kcizh</w:instrText>
      </w:r>
      <w:r>
        <w:rPr/>
        <w:fldChar w:fldCharType="separate"/>
      </w:r>
      <w:r>
        <w:rPr/>
        <w:t>7</w:t>
      </w:r>
      <w:r>
        <w:rPr/>
        <w:fldChar w:fldCharType="end"/>
      </w:r>
      <w:r>
        <w:rPr/>
        <w:fldChar w:fldCharType="end"/>
      </w:r>
    </w:p>
    <w:p>
      <w:pPr>
        <w:pStyle w:val="vao1v0"/>
        <w:tabs>
          <w:tab w:val="right" w:leader="dot" w:pos="8312"/>
        </w:tabs>
        <w:rPr/>
      </w:pPr>
      <w:r>
        <w:rPr/>
        <w:fldChar w:fldCharType="begin"/>
      </w:r>
      <w:r>
        <w:rPr/>
        <w:instrText>HYPERLINK \l "_Tocqzplnt"</w:instrText>
      </w:r>
      <w:r>
        <w:rPr/>
        <w:fldChar w:fldCharType="separate"/>
      </w:r>
      <w:r>
        <w:rPr>
          <w:rFonts w:hint="eastAsia"/>
          <w:shd/>
        </w:rPr>
        <w:t>2.2.2 自进化Agent</w:t>
      </w:r>
      <w:r>
        <w:rPr/>
        <w:tab/>
      </w:r>
      <w:r>
        <w:rPr/>
        <w:fldChar w:fldCharType="begin"/>
      </w:r>
      <w:r>
        <w:rPr/>
        <w:instrText>PAGEREF _Tocqzplnt \h \tdkey 3xk7fc</w:instrText>
      </w:r>
      <w:r>
        <w:rPr/>
        <w:fldChar w:fldCharType="separate"/>
      </w:r>
      <w:r>
        <w:rPr/>
        <w:t>7</w:t>
      </w:r>
      <w:r>
        <w:rPr/>
        <w:fldChar w:fldCharType="end"/>
      </w:r>
      <w:r>
        <w:rPr/>
        <w:fldChar w:fldCharType="end"/>
      </w:r>
    </w:p>
    <w:p>
      <w:pPr>
        <w:pStyle w:val="vao1v0"/>
        <w:tabs>
          <w:tab w:val="right" w:leader="dot" w:pos="8312"/>
        </w:tabs>
        <w:rPr/>
      </w:pPr>
      <w:r>
        <w:rPr/>
        <w:fldChar w:fldCharType="begin"/>
      </w:r>
      <w:r>
        <w:rPr/>
        <w:instrText>HYPERLINK \l "_Toc1nvv8y"</w:instrText>
      </w:r>
      <w:r>
        <w:rPr/>
        <w:fldChar w:fldCharType="separate"/>
      </w:r>
      <w:r>
        <w:rPr>
          <w:rFonts w:hint="eastAsia"/>
          <w:shd/>
        </w:rPr>
        <w:t>2.2.3 化学问题</w:t>
      </w:r>
      <w:r>
        <w:rPr/>
        <w:tab/>
      </w:r>
      <w:r>
        <w:rPr/>
        <w:fldChar w:fldCharType="begin"/>
      </w:r>
      <w:r>
        <w:rPr/>
        <w:instrText>PAGEREF _Toc1nvv8y \h \tdkey yt2scv</w:instrText>
      </w:r>
      <w:r>
        <w:rPr/>
        <w:fldChar w:fldCharType="separate"/>
      </w:r>
      <w:r>
        <w:rPr/>
        <w:t>8</w:t>
      </w:r>
      <w:r>
        <w:rPr/>
        <w:fldChar w:fldCharType="end"/>
      </w:r>
      <w:r>
        <w:rPr/>
        <w:fldChar w:fldCharType="end"/>
      </w:r>
    </w:p>
    <w:p>
      <w:pPr>
        <w:pStyle w:val="tjrwaj"/>
        <w:tabs>
          <w:tab w:val="right" w:leader="dot" w:pos="8312"/>
        </w:tabs>
        <w:snapToGrid w:val="0"/>
        <w:spacing w:before="0" w:after="0"/>
        <w:rPr/>
      </w:pPr>
      <w:r>
        <w:rPr/>
        <w:fldChar w:fldCharType="begin"/>
      </w:r>
      <w:r>
        <w:rPr/>
        <w:instrText>HYPERLINK \l "_Toc1efm67"</w:instrText>
      </w:r>
      <w:r>
        <w:rPr/>
        <w:fldChar w:fldCharType="separate"/>
      </w:r>
      <w:r>
        <w:rPr>
          <w:rFonts/>
          <w:shd/>
        </w:rPr>
        <w:t>2.3 Qwen使用方式</w:t>
      </w:r>
      <w:r>
        <w:rPr/>
        <w:tab/>
      </w:r>
      <w:r>
        <w:rPr/>
        <w:fldChar w:fldCharType="begin"/>
      </w:r>
      <w:r>
        <w:rPr/>
        <w:instrText>PAGEREF _Toc1efm67 \h \tdkey qat9qm</w:instrText>
      </w:r>
      <w:r>
        <w:rPr/>
        <w:fldChar w:fldCharType="separate"/>
      </w:r>
      <w:r>
        <w:rPr/>
        <w:t>9</w:t>
      </w:r>
      <w:r>
        <w:rPr/>
        <w:fldChar w:fldCharType="end"/>
      </w:r>
      <w:r>
        <w:rPr/>
        <w:fldChar w:fldCharType="end"/>
      </w:r>
    </w:p>
    <w:p>
      <w:pPr>
        <w:pStyle w:val="zg3yfq"/>
        <w:tabs>
          <w:tab w:val="right" w:leader="dot" w:pos="8312"/>
        </w:tabs>
        <w:rPr/>
      </w:pPr>
      <w:r>
        <w:rPr/>
        <w:fldChar w:fldCharType="begin"/>
      </w:r>
      <w:r>
        <w:rPr/>
        <w:instrText>HYPERLINK \l "_Tocm1ite2"</w:instrText>
      </w:r>
      <w:r>
        <w:rPr/>
        <w:fldChar w:fldCharType="separate"/>
      </w:r>
      <w:r>
        <w:rPr>
          <w:rFonts w:hint="eastAsia"/>
          <w:shd/>
        </w:rPr>
        <w:t>3 系统总体架构与技术闭环</w:t>
      </w:r>
      <w:r>
        <w:rPr/>
        <w:tab/>
      </w:r>
      <w:r>
        <w:rPr/>
        <w:fldChar w:fldCharType="begin"/>
      </w:r>
      <w:r>
        <w:rPr/>
        <w:instrText>PAGEREF _Tocm1ite2 \h \tdkey 77cxdl</w:instrText>
      </w:r>
      <w:r>
        <w:rPr/>
        <w:fldChar w:fldCharType="separate"/>
      </w:r>
      <w:r>
        <w:rPr/>
        <w:t>9</w:t>
      </w:r>
      <w:r>
        <w:rPr/>
        <w:fldChar w:fldCharType="end"/>
      </w:r>
      <w:r>
        <w:rPr/>
        <w:fldChar w:fldCharType="end"/>
      </w:r>
    </w:p>
    <w:p>
      <w:pPr>
        <w:pStyle w:val="tjrwaj"/>
        <w:tabs>
          <w:tab w:val="right" w:leader="dot" w:pos="8312"/>
        </w:tabs>
        <w:rPr/>
      </w:pPr>
      <w:r>
        <w:rPr/>
        <w:fldChar w:fldCharType="begin"/>
      </w:r>
      <w:r>
        <w:rPr/>
        <w:instrText>HYPERLINK \l "_Toc6s5flz"</w:instrText>
      </w:r>
      <w:r>
        <w:rPr/>
        <w:fldChar w:fldCharType="separate"/>
      </w:r>
      <w:r>
        <w:rPr>
          <w:rFonts w:hint="eastAsia"/>
          <w:shd/>
        </w:rPr>
        <w:t>3.1 整体技术路线概括</w:t>
      </w:r>
      <w:r>
        <w:rPr/>
        <w:tab/>
      </w:r>
      <w:r>
        <w:rPr/>
        <w:fldChar w:fldCharType="begin"/>
      </w:r>
      <w:r>
        <w:rPr/>
        <w:instrText>PAGEREF _Toc6s5flz \h \tdkey upivbm</w:instrText>
      </w:r>
      <w:r>
        <w:rPr/>
        <w:fldChar w:fldCharType="separate"/>
      </w:r>
      <w:r>
        <w:rPr/>
        <w:t>9</w:t>
      </w:r>
      <w:r>
        <w:rPr/>
        <w:fldChar w:fldCharType="end"/>
      </w:r>
      <w:r>
        <w:rPr/>
        <w:fldChar w:fldCharType="end"/>
      </w:r>
    </w:p>
    <w:p>
      <w:pPr>
        <w:pStyle w:val="vao1v0"/>
        <w:tabs>
          <w:tab w:val="right" w:leader="dot" w:pos="8312"/>
        </w:tabs>
        <w:rPr/>
      </w:pPr>
      <w:r>
        <w:rPr/>
        <w:fldChar w:fldCharType="begin"/>
      </w:r>
      <w:r>
        <w:rPr/>
        <w:instrText>HYPERLINK \l "_Toc68a8tn"</w:instrText>
      </w:r>
      <w:r>
        <w:rPr/>
        <w:fldChar w:fldCharType="separate"/>
      </w:r>
      <w:r>
        <w:rPr>
          <w:rFonts w:hint="eastAsia"/>
          <w:shd/>
        </w:rPr>
        <w:t>3.1.1 整体目标</w:t>
      </w:r>
      <w:r>
        <w:rPr/>
        <w:tab/>
      </w:r>
      <w:r>
        <w:rPr/>
        <w:fldChar w:fldCharType="begin"/>
      </w:r>
      <w:r>
        <w:rPr/>
        <w:instrText>PAGEREF _Toc68a8tn \h \tdkey go8qg5</w:instrText>
      </w:r>
      <w:r>
        <w:rPr/>
        <w:fldChar w:fldCharType="separate"/>
      </w:r>
      <w:r>
        <w:rPr/>
        <w:t>9</w:t>
      </w:r>
      <w:r>
        <w:rPr/>
        <w:fldChar w:fldCharType="end"/>
      </w:r>
      <w:r>
        <w:rPr/>
        <w:fldChar w:fldCharType="end"/>
      </w:r>
    </w:p>
    <w:p>
      <w:pPr>
        <w:pStyle w:val="vao1v0"/>
        <w:tabs>
          <w:tab w:val="right" w:leader="dot" w:pos="8312"/>
        </w:tabs>
        <w:rPr/>
      </w:pPr>
      <w:r>
        <w:rPr/>
        <w:fldChar w:fldCharType="begin"/>
      </w:r>
      <w:r>
        <w:rPr/>
        <w:instrText>HYPERLINK \l "_Tocicceqn"</w:instrText>
      </w:r>
      <w:r>
        <w:rPr/>
        <w:fldChar w:fldCharType="separate"/>
      </w:r>
      <w:r>
        <w:rPr>
          <w:rFonts w:hint="eastAsia"/>
          <w:shd/>
        </w:rPr>
        <w:t>3.1.2 整体技术路线</w:t>
      </w:r>
      <w:r>
        <w:rPr/>
        <w:tab/>
      </w:r>
      <w:r>
        <w:rPr/>
        <w:fldChar w:fldCharType="begin"/>
      </w:r>
      <w:r>
        <w:rPr/>
        <w:instrText>PAGEREF _Tocicceqn \h \tdkey rtrj96</w:instrText>
      </w:r>
      <w:r>
        <w:rPr/>
        <w:fldChar w:fldCharType="separate"/>
      </w:r>
      <w:r>
        <w:rPr/>
        <w:t>10</w:t>
      </w:r>
      <w:r>
        <w:rPr/>
        <w:fldChar w:fldCharType="end"/>
      </w:r>
      <w:r>
        <w:rPr/>
        <w:fldChar w:fldCharType="end"/>
      </w:r>
    </w:p>
    <w:p>
      <w:pPr>
        <w:pStyle w:val="vao1v0"/>
        <w:tabs>
          <w:tab w:val="right" w:leader="dot" w:pos="8312"/>
        </w:tabs>
        <w:rPr/>
      </w:pPr>
      <w:r>
        <w:rPr/>
        <w:fldChar w:fldCharType="begin"/>
      </w:r>
      <w:r>
        <w:rPr/>
        <w:instrText>HYPERLINK \l "_Tocytszea"</w:instrText>
      </w:r>
      <w:r>
        <w:rPr/>
        <w:fldChar w:fldCharType="separate"/>
      </w:r>
      <w:r>
        <w:rPr>
          <w:rFonts w:hint="eastAsia"/>
          <w:shd/>
        </w:rPr>
        <w:t>3.1.3 创新点</w:t>
      </w:r>
      <w:r>
        <w:rPr/>
        <w:tab/>
      </w:r>
      <w:r>
        <w:rPr/>
        <w:fldChar w:fldCharType="begin"/>
      </w:r>
      <w:r>
        <w:rPr/>
        <w:instrText>PAGEREF _Tocytszea \h \tdkey 1fvnfo</w:instrText>
      </w:r>
      <w:r>
        <w:rPr/>
        <w:fldChar w:fldCharType="separate"/>
      </w:r>
      <w:r>
        <w:rPr/>
        <w:t>10</w:t>
      </w:r>
      <w:r>
        <w:rPr/>
        <w:fldChar w:fldCharType="end"/>
      </w:r>
      <w:r>
        <w:rPr/>
        <w:fldChar w:fldCharType="end"/>
      </w:r>
    </w:p>
    <w:p>
      <w:pPr>
        <w:pStyle w:val="tjrwaj"/>
        <w:tabs>
          <w:tab w:val="right" w:leader="dot" w:pos="8312"/>
        </w:tabs>
        <w:rPr/>
      </w:pPr>
      <w:r>
        <w:rPr/>
        <w:fldChar w:fldCharType="begin"/>
      </w:r>
      <w:r>
        <w:rPr/>
        <w:instrText>HYPERLINK \l "_Toc01769n"</w:instrText>
      </w:r>
      <w:r>
        <w:rPr/>
        <w:fldChar w:fldCharType="separate"/>
      </w:r>
      <w:r>
        <w:rPr>
          <w:rFonts w:hint="eastAsia"/>
          <w:shd/>
        </w:rPr>
        <w:t>3.2 启真全学科知识图谱SciAtlas</w:t>
      </w:r>
      <w:r>
        <w:rPr/>
        <w:tab/>
      </w:r>
      <w:r>
        <w:rPr/>
        <w:fldChar w:fldCharType="begin"/>
      </w:r>
      <w:r>
        <w:rPr/>
        <w:instrText>PAGEREF _Toc01769n \h \tdkey wa0k6v</w:instrText>
      </w:r>
      <w:r>
        <w:rPr/>
        <w:fldChar w:fldCharType="separate"/>
      </w:r>
      <w:r>
        <w:rPr/>
        <w:t>11</w:t>
      </w:r>
      <w:r>
        <w:rPr/>
        <w:fldChar w:fldCharType="end"/>
      </w:r>
      <w:r>
        <w:rPr/>
        <w:fldChar w:fldCharType="end"/>
      </w:r>
    </w:p>
    <w:p>
      <w:pPr>
        <w:pStyle w:val="vao1v0"/>
        <w:tabs>
          <w:tab w:val="right" w:leader="dot" w:pos="8312"/>
        </w:tabs>
        <w:rPr/>
      </w:pPr>
      <w:r>
        <w:rPr/>
        <w:fldChar w:fldCharType="begin"/>
      </w:r>
      <w:r>
        <w:rPr/>
        <w:instrText>HYPERLINK \l "_Tocwhbduk"</w:instrText>
      </w:r>
      <w:r>
        <w:rPr/>
        <w:fldChar w:fldCharType="separate"/>
      </w:r>
      <w:r>
        <w:rPr>
          <w:rFonts w:hint="eastAsia"/>
          <w:shd/>
        </w:rPr>
        <w:t>3.2.1 全学科知识图谱构建</w:t>
      </w:r>
      <w:r>
        <w:rPr/>
        <w:tab/>
      </w:r>
      <w:r>
        <w:rPr/>
        <w:fldChar w:fldCharType="begin"/>
      </w:r>
      <w:r>
        <w:rPr/>
        <w:instrText>PAGEREF _Tocwhbduk \h \tdkey crhiz1</w:instrText>
      </w:r>
      <w:r>
        <w:rPr/>
        <w:fldChar w:fldCharType="separate"/>
      </w:r>
      <w:r>
        <w:rPr/>
        <w:t>11</w:t>
      </w:r>
      <w:r>
        <w:rPr/>
        <w:fldChar w:fldCharType="end"/>
      </w:r>
      <w:r>
        <w:rPr/>
        <w:fldChar w:fldCharType="end"/>
      </w:r>
    </w:p>
    <w:p>
      <w:pPr>
        <w:pStyle w:val="vao1v0"/>
        <w:tabs>
          <w:tab w:val="right" w:leader="dot" w:pos="8312"/>
        </w:tabs>
        <w:rPr/>
      </w:pPr>
      <w:r>
        <w:rPr/>
        <w:fldChar w:fldCharType="begin"/>
      </w:r>
      <w:r>
        <w:rPr/>
        <w:instrText>HYPERLINK \l "_Tocndie41"</w:instrText>
      </w:r>
      <w:r>
        <w:rPr/>
        <w:fldChar w:fldCharType="separate"/>
      </w:r>
      <w:r>
        <w:rPr>
          <w:rFonts w:hint="eastAsia"/>
          <w:shd/>
        </w:rPr>
        <w:t>3.2.2 知识图谱检索算法</w:t>
      </w:r>
      <w:r>
        <w:rPr/>
        <w:tab/>
      </w:r>
      <w:r>
        <w:rPr/>
        <w:fldChar w:fldCharType="begin"/>
      </w:r>
      <w:r>
        <w:rPr/>
        <w:instrText>PAGEREF _Tocndie41 \h \tdkey 50imez</w:instrText>
      </w:r>
      <w:r>
        <w:rPr/>
        <w:fldChar w:fldCharType="separate"/>
      </w:r>
      <w:r>
        <w:rPr/>
        <w:t>12</w:t>
      </w:r>
      <w:r>
        <w:rPr/>
        <w:fldChar w:fldCharType="end"/>
      </w:r>
      <w:r>
        <w:rPr/>
        <w:fldChar w:fldCharType="end"/>
      </w:r>
    </w:p>
    <w:p>
      <w:pPr>
        <w:pStyle w:val="vao1v0"/>
        <w:tabs>
          <w:tab w:val="right" w:leader="dot" w:pos="8312"/>
        </w:tabs>
        <w:rPr/>
      </w:pPr>
      <w:r>
        <w:rPr/>
        <w:fldChar w:fldCharType="begin"/>
      </w:r>
      <w:r>
        <w:rPr/>
        <w:instrText>HYPERLINK \l "_Tocb5wn8o"</w:instrText>
      </w:r>
      <w:r>
        <w:rPr/>
        <w:fldChar w:fldCharType="separate"/>
      </w:r>
      <w:r>
        <w:rPr>
          <w:rFonts w:hint="eastAsia"/>
          <w:shd/>
        </w:rPr>
        <w:t>3.2.3 交叉学科知识库启发化学猜想</w:t>
      </w:r>
      <w:r>
        <w:rPr/>
        <w:tab/>
      </w:r>
      <w:r>
        <w:rPr/>
        <w:fldChar w:fldCharType="begin"/>
      </w:r>
      <w:r>
        <w:rPr/>
        <w:instrText>PAGEREF _Tocb5wn8o \h \tdkey w4gs5k</w:instrText>
      </w:r>
      <w:r>
        <w:rPr/>
        <w:fldChar w:fldCharType="separate"/>
      </w:r>
      <w:r>
        <w:rPr/>
        <w:t>13</w:t>
      </w:r>
      <w:r>
        <w:rPr/>
        <w:fldChar w:fldCharType="end"/>
      </w:r>
      <w:r>
        <w:rPr/>
        <w:fldChar w:fldCharType="end"/>
      </w:r>
    </w:p>
    <w:p>
      <w:pPr>
        <w:pStyle w:val="vao1v0"/>
        <w:tabs>
          <w:tab w:val="right" w:leader="dot" w:pos="8312"/>
        </w:tabs>
        <w:rPr/>
      </w:pPr>
      <w:r>
        <w:rPr/>
        <w:fldChar w:fldCharType="begin"/>
      </w:r>
      <w:r>
        <w:rPr/>
        <w:instrText>HYPERLINK \l "_Tocnkn0vn"</w:instrText>
      </w:r>
      <w:r>
        <w:rPr/>
        <w:fldChar w:fldCharType="separate"/>
      </w:r>
      <w:r>
        <w:rPr>
          <w:rFonts w:hint="eastAsia"/>
          <w:shd/>
        </w:rPr>
        <w:t>3.2.4 化学假设闭环生成与迭代过程</w:t>
      </w:r>
      <w:r>
        <w:rPr/>
        <w:tab/>
      </w:r>
      <w:r>
        <w:rPr/>
        <w:fldChar w:fldCharType="begin"/>
      </w:r>
      <w:r>
        <w:rPr/>
        <w:instrText>PAGEREF _Tocnkn0vn \h \tdkey k1gheh</w:instrText>
      </w:r>
      <w:r>
        <w:rPr/>
        <w:fldChar w:fldCharType="separate"/>
      </w:r>
      <w:r>
        <w:rPr/>
        <w:t>13</w:t>
      </w:r>
      <w:r>
        <w:rPr/>
        <w:fldChar w:fldCharType="end"/>
      </w:r>
      <w:r>
        <w:rPr/>
        <w:fldChar w:fldCharType="end"/>
      </w:r>
    </w:p>
    <w:p>
      <w:pPr>
        <w:pStyle w:val="tjrwaj"/>
        <w:tabs>
          <w:tab w:val="right" w:leader="dot" w:pos="8312"/>
        </w:tabs>
        <w:rPr/>
      </w:pPr>
      <w:r>
        <w:rPr/>
        <w:fldChar w:fldCharType="begin"/>
      </w:r>
      <w:r>
        <w:rPr/>
        <w:instrText>HYPERLINK \l "_Tocthyfsc"</w:instrText>
      </w:r>
      <w:r>
        <w:rPr/>
        <w:fldChar w:fldCharType="separate"/>
      </w:r>
      <w:r>
        <w:rPr>
          <w:rFonts w:hint="eastAsia"/>
          <w:i w:val="0"/>
          <w:strike w:val="0"/>
          <w:shd/>
        </w:rPr>
        <w:t>3.3 启真智能真机实验体系</w:t>
      </w:r>
      <w:r>
        <w:rPr/>
        <w:tab/>
      </w:r>
      <w:r>
        <w:rPr/>
        <w:fldChar w:fldCharType="begin"/>
      </w:r>
      <w:r>
        <w:rPr/>
        <w:instrText>PAGEREF _Tocthyfsc \h \tdkey rl7psj</w:instrText>
      </w:r>
      <w:r>
        <w:rPr/>
        <w:fldChar w:fldCharType="separate"/>
      </w:r>
      <w:r>
        <w:rPr/>
        <w:t>14</w:t>
      </w:r>
      <w:r>
        <w:rPr/>
        <w:fldChar w:fldCharType="end"/>
      </w:r>
      <w:r>
        <w:rPr/>
        <w:fldChar w:fldCharType="end"/>
      </w:r>
    </w:p>
    <w:p>
      <w:pPr>
        <w:pStyle w:val="vao1v0"/>
        <w:tabs>
          <w:tab w:val="right" w:leader="dot" w:pos="8312"/>
        </w:tabs>
        <w:rPr/>
      </w:pPr>
      <w:r>
        <w:rPr/>
        <w:fldChar w:fldCharType="begin"/>
      </w:r>
      <w:r>
        <w:rPr/>
        <w:instrText>HYPERLINK \l "_Toc0l53ia"</w:instrText>
      </w:r>
      <w:r>
        <w:rPr/>
        <w:fldChar w:fldCharType="separate"/>
      </w:r>
      <w:r>
        <w:rPr>
          <w:rFonts w:hint="eastAsia"/>
          <w:i w:val="0"/>
          <w:strike w:val="0"/>
          <w:shd/>
        </w:rPr>
        <w:t>3.3.1 标准化实验技能建模与网络化组织</w:t>
      </w:r>
      <w:r>
        <w:rPr/>
        <w:tab/>
      </w:r>
      <w:r>
        <w:rPr/>
        <w:fldChar w:fldCharType="begin"/>
      </w:r>
      <w:r>
        <w:rPr/>
        <w:instrText>PAGEREF _Toc0l53ia \h \tdkey q3amkz</w:instrText>
      </w:r>
      <w:r>
        <w:rPr/>
        <w:fldChar w:fldCharType="separate"/>
      </w:r>
      <w:r>
        <w:rPr/>
        <w:t>14</w:t>
      </w:r>
      <w:r>
        <w:rPr/>
        <w:fldChar w:fldCharType="end"/>
      </w:r>
      <w:r>
        <w:rPr/>
        <w:fldChar w:fldCharType="end"/>
      </w:r>
    </w:p>
    <w:p>
      <w:pPr>
        <w:pStyle w:val="vao1v0"/>
        <w:tabs>
          <w:tab w:val="right" w:leader="dot" w:pos="8312"/>
        </w:tabs>
        <w:rPr/>
      </w:pPr>
      <w:r>
        <w:rPr/>
        <w:fldChar w:fldCharType="begin"/>
      </w:r>
      <w:r>
        <w:rPr/>
        <w:instrText>HYPERLINK \l "_Tocrjg8in"</w:instrText>
      </w:r>
      <w:r>
        <w:rPr/>
        <w:fldChar w:fldCharType="separate"/>
      </w:r>
      <w:r>
        <w:rPr>
          <w:rFonts w:hint="eastAsia"/>
          <w:i w:val="0"/>
          <w:strike w:val="0"/>
          <w:shd/>
        </w:rPr>
        <w:t>3.3.2 复杂实验流程的约束编排与跨设备适配</w:t>
      </w:r>
      <w:r>
        <w:rPr/>
        <w:tab/>
      </w:r>
      <w:r>
        <w:rPr/>
        <w:fldChar w:fldCharType="begin"/>
      </w:r>
      <w:r>
        <w:rPr/>
        <w:instrText>PAGEREF _Tocrjg8in \h \tdkey loneb9</w:instrText>
      </w:r>
      <w:r>
        <w:rPr/>
        <w:fldChar w:fldCharType="separate"/>
      </w:r>
      <w:r>
        <w:rPr/>
        <w:t>15</w:t>
      </w:r>
      <w:r>
        <w:rPr/>
        <w:fldChar w:fldCharType="end"/>
      </w:r>
      <w:r>
        <w:rPr/>
        <w:fldChar w:fldCharType="end"/>
      </w:r>
    </w:p>
    <w:p>
      <w:pPr>
        <w:pStyle w:val="vao1v0"/>
        <w:tabs>
          <w:tab w:val="right" w:leader="dot" w:pos="8312"/>
        </w:tabs>
        <w:rPr/>
      </w:pPr>
      <w:r>
        <w:rPr/>
        <w:fldChar w:fldCharType="begin"/>
      </w:r>
      <w:r>
        <w:rPr/>
        <w:instrText>HYPERLINK \l "_Toc0l6p0r"</w:instrText>
      </w:r>
      <w:r>
        <w:rPr/>
        <w:fldChar w:fldCharType="separate"/>
      </w:r>
      <w:r>
        <w:rPr>
          <w:rFonts w:hint="eastAsia"/>
          <w:i w:val="0"/>
          <w:strike w:val="0"/>
          <w:shd/>
        </w:rPr>
        <w:t>3.3.3 面向科学实验的多模态具身执行</w:t>
      </w:r>
      <w:r>
        <w:rPr/>
        <w:tab/>
      </w:r>
      <w:r>
        <w:rPr/>
        <w:fldChar w:fldCharType="begin"/>
      </w:r>
      <w:r>
        <w:rPr/>
        <w:instrText>PAGEREF _Toc0l6p0r \h \tdkey kosfvo</w:instrText>
      </w:r>
      <w:r>
        <w:rPr/>
        <w:fldChar w:fldCharType="separate"/>
      </w:r>
      <w:r>
        <w:rPr/>
        <w:t>15</w:t>
      </w:r>
      <w:r>
        <w:rPr/>
        <w:fldChar w:fldCharType="end"/>
      </w:r>
      <w:r>
        <w:rPr/>
        <w:fldChar w:fldCharType="end"/>
      </w:r>
    </w:p>
    <w:p>
      <w:pPr>
        <w:pStyle w:val="vao1v0"/>
        <w:tabs>
          <w:tab w:val="right" w:leader="dot" w:pos="8312"/>
        </w:tabs>
        <w:rPr/>
      </w:pPr>
      <w:r>
        <w:rPr/>
        <w:fldChar w:fldCharType="begin"/>
      </w:r>
      <w:r>
        <w:rPr/>
        <w:instrText>HYPERLINK \l "_Tocot8nsc"</w:instrText>
      </w:r>
      <w:r>
        <w:rPr/>
        <w:fldChar w:fldCharType="separate"/>
      </w:r>
      <w:r>
        <w:rPr>
          <w:rFonts w:hint="eastAsia"/>
          <w:i w:val="0"/>
          <w:strike w:val="0"/>
          <w:shd/>
        </w:rPr>
        <w:t>3.3.4 真实实验状态回传与自进化接口</w:t>
      </w:r>
      <w:r>
        <w:rPr/>
        <w:tab/>
      </w:r>
      <w:r>
        <w:rPr/>
        <w:fldChar w:fldCharType="begin"/>
      </w:r>
      <w:r>
        <w:rPr/>
        <w:instrText>PAGEREF _Tocot8nsc \h \tdkey 91vij3</w:instrText>
      </w:r>
      <w:r>
        <w:rPr/>
        <w:fldChar w:fldCharType="separate"/>
      </w:r>
      <w:r>
        <w:rPr/>
        <w:t>16</w:t>
      </w:r>
      <w:r>
        <w:rPr/>
        <w:fldChar w:fldCharType="end"/>
      </w:r>
      <w:r>
        <w:rPr/>
        <w:fldChar w:fldCharType="end"/>
      </w:r>
    </w:p>
    <w:p>
      <w:pPr>
        <w:pStyle w:val="tjrwaj"/>
        <w:tabs>
          <w:tab w:val="right" w:leader="dot" w:pos="8312"/>
        </w:tabs>
        <w:rPr/>
      </w:pPr>
      <w:r>
        <w:rPr/>
        <w:fldChar w:fldCharType="begin"/>
      </w:r>
      <w:r>
        <w:rPr/>
        <w:instrText>HYPERLINK \l "_Tockyz2id"</w:instrText>
      </w:r>
      <w:r>
        <w:rPr/>
        <w:fldChar w:fldCharType="separate"/>
      </w:r>
      <w:r>
        <w:rPr>
          <w:rFonts w:hint="eastAsia"/>
          <w:i w:val="0"/>
          <w:strike w:val="0"/>
          <w:shd/>
        </w:rPr>
        <w:t>3.4 启真自动迭代系统</w:t>
      </w:r>
      <w:r>
        <w:rPr/>
        <w:tab/>
      </w:r>
      <w:r>
        <w:rPr/>
        <w:fldChar w:fldCharType="begin"/>
      </w:r>
      <w:r>
        <w:rPr/>
        <w:instrText>PAGEREF _Tockyz2id \h \tdkey iipbiv</w:instrText>
      </w:r>
      <w:r>
        <w:rPr/>
        <w:fldChar w:fldCharType="separate"/>
      </w:r>
      <w:r>
        <w:rPr/>
        <w:t>16</w:t>
      </w:r>
      <w:r>
        <w:rPr/>
        <w:fldChar w:fldCharType="end"/>
      </w:r>
      <w:r>
        <w:rPr/>
        <w:fldChar w:fldCharType="end"/>
      </w:r>
    </w:p>
    <w:p>
      <w:pPr>
        <w:pStyle w:val="vao1v0"/>
        <w:tabs>
          <w:tab w:val="right" w:leader="dot" w:pos="8312"/>
        </w:tabs>
        <w:rPr/>
      </w:pPr>
      <w:r>
        <w:rPr/>
        <w:fldChar w:fldCharType="begin"/>
      </w:r>
      <w:r>
        <w:rPr/>
        <w:instrText>HYPERLINK \l "_Tocsk21is"</w:instrText>
      </w:r>
      <w:r>
        <w:rPr/>
        <w:fldChar w:fldCharType="separate"/>
      </w:r>
      <w:r>
        <w:rPr>
          <w:rFonts w:hint="eastAsia"/>
          <w:i w:val="0"/>
          <w:strike w:val="0"/>
          <w:shd/>
        </w:rPr>
        <w:t>3.4.1 任务特定科研评价规范的自动构建</w:t>
      </w:r>
      <w:r>
        <w:rPr/>
        <w:tab/>
      </w:r>
      <w:r>
        <w:rPr/>
        <w:fldChar w:fldCharType="begin"/>
      </w:r>
      <w:r>
        <w:rPr/>
        <w:instrText>PAGEREF _Tocsk21is \h \tdkey lj6pi6</w:instrText>
      </w:r>
      <w:r>
        <w:rPr/>
        <w:fldChar w:fldCharType="separate"/>
      </w:r>
      <w:r>
        <w:rPr/>
        <w:t>17</w:t>
      </w:r>
      <w:r>
        <w:rPr/>
        <w:fldChar w:fldCharType="end"/>
      </w:r>
      <w:r>
        <w:rPr/>
        <w:fldChar w:fldCharType="end"/>
      </w:r>
    </w:p>
    <w:p>
      <w:pPr>
        <w:pStyle w:val="vao1v0"/>
        <w:tabs>
          <w:tab w:val="right" w:leader="dot" w:pos="8312"/>
        </w:tabs>
        <w:rPr/>
      </w:pPr>
      <w:r>
        <w:rPr/>
        <w:fldChar w:fldCharType="begin"/>
      </w:r>
      <w:r>
        <w:rPr/>
        <w:instrText>HYPERLINK \l "_Toc4qsr7u"</w:instrText>
      </w:r>
      <w:r>
        <w:rPr/>
        <w:fldChar w:fldCharType="separate"/>
      </w:r>
      <w:r>
        <w:rPr>
          <w:rFonts w:hint="eastAsia"/>
          <w:i w:val="0"/>
          <w:strike w:val="0"/>
          <w:shd/>
        </w:rPr>
        <w:t>3.4.2 多源实验反馈融合与失效归因</w:t>
      </w:r>
      <w:r>
        <w:rPr/>
        <w:tab/>
      </w:r>
      <w:r>
        <w:rPr/>
        <w:fldChar w:fldCharType="begin"/>
      </w:r>
      <w:r>
        <w:rPr/>
        <w:instrText>PAGEREF _Toc4qsr7u \h \tdkey 7dkgou</w:instrText>
      </w:r>
      <w:r>
        <w:rPr/>
        <w:fldChar w:fldCharType="separate"/>
      </w:r>
      <w:r>
        <w:rPr/>
        <w:t>17</w:t>
      </w:r>
      <w:r>
        <w:rPr/>
        <w:fldChar w:fldCharType="end"/>
      </w:r>
      <w:r>
        <w:rPr/>
        <w:fldChar w:fldCharType="end"/>
      </w:r>
    </w:p>
    <w:p>
      <w:pPr>
        <w:pStyle w:val="vao1v0"/>
        <w:tabs>
          <w:tab w:val="right" w:leader="dot" w:pos="8312"/>
        </w:tabs>
        <w:rPr/>
      </w:pPr>
      <w:r>
        <w:rPr/>
        <w:fldChar w:fldCharType="begin"/>
      </w:r>
      <w:r>
        <w:rPr/>
        <w:instrText>HYPERLINK \l "_Toc43o1i4"</w:instrText>
      </w:r>
      <w:r>
        <w:rPr/>
        <w:fldChar w:fldCharType="separate"/>
      </w:r>
      <w:r>
        <w:rPr>
          <w:rFonts w:hint="eastAsia"/>
          <w:i w:val="0"/>
          <w:strike w:val="0"/>
          <w:shd/>
        </w:rPr>
        <w:t>3.4.3 设备与安全约束下的实验条件定向迭代</w:t>
      </w:r>
      <w:r>
        <w:rPr/>
        <w:tab/>
      </w:r>
      <w:r>
        <w:rPr/>
        <w:fldChar w:fldCharType="begin"/>
      </w:r>
      <w:r>
        <w:rPr/>
        <w:instrText>PAGEREF _Toc43o1i4 \h \tdkey 4mmchm</w:instrText>
      </w:r>
      <w:r>
        <w:rPr/>
        <w:fldChar w:fldCharType="separate"/>
      </w:r>
      <w:r>
        <w:rPr/>
        <w:t>17</w:t>
      </w:r>
      <w:r>
        <w:rPr/>
        <w:fldChar w:fldCharType="end"/>
      </w:r>
      <w:r>
        <w:rPr/>
        <w:fldChar w:fldCharType="end"/>
      </w:r>
    </w:p>
    <w:p>
      <w:pPr>
        <w:pStyle w:val="vao1v0"/>
        <w:tabs>
          <w:tab w:val="right" w:leader="dot" w:pos="8312"/>
        </w:tabs>
        <w:rPr/>
      </w:pPr>
      <w:r>
        <w:rPr/>
        <w:fldChar w:fldCharType="begin"/>
      </w:r>
      <w:r>
        <w:rPr/>
        <w:instrText>HYPERLINK \l "_Toc9mqu3n"</w:instrText>
      </w:r>
      <w:r>
        <w:rPr/>
        <w:fldChar w:fldCharType="separate"/>
      </w:r>
      <w:r>
        <w:rPr>
          <w:rFonts w:hint="eastAsia"/>
          <w:i w:val="0"/>
          <w:strike w:val="0"/>
          <w:shd/>
        </w:rPr>
        <w:t>3.4.4 实验经验沉淀与科研能力进化</w:t>
      </w:r>
      <w:r>
        <w:rPr/>
        <w:tab/>
      </w:r>
      <w:r>
        <w:rPr/>
        <w:fldChar w:fldCharType="begin"/>
      </w:r>
      <w:r>
        <w:rPr/>
        <w:instrText>PAGEREF _Toc9mqu3n \h \tdkey k992q1</w:instrText>
      </w:r>
      <w:r>
        <w:rPr/>
        <w:fldChar w:fldCharType="separate"/>
      </w:r>
      <w:r>
        <w:rPr/>
        <w:t>18</w:t>
      </w:r>
      <w:r>
        <w:rPr/>
        <w:fldChar w:fldCharType="end"/>
      </w:r>
      <w:r>
        <w:rPr/>
        <w:fldChar w:fldCharType="end"/>
      </w:r>
    </w:p>
    <w:p>
      <w:pPr>
        <w:pStyle w:val="zg3yfq"/>
        <w:tabs>
          <w:tab w:val="right" w:leader="dot" w:pos="8312"/>
        </w:tabs>
        <w:rPr/>
      </w:pPr>
      <w:r>
        <w:rPr/>
        <w:fldChar w:fldCharType="begin"/>
      </w:r>
      <w:r>
        <w:rPr/>
        <w:instrText>HYPERLINK \l "_Tocvx42nf"</w:instrText>
      </w:r>
      <w:r>
        <w:rPr/>
        <w:fldChar w:fldCharType="separate"/>
      </w:r>
      <w:r>
        <w:rPr>
          <w:rFonts w:hint="eastAsia"/>
          <w:shd/>
        </w:rPr>
        <w:t>4 真实应用：代表性测试案例</w:t>
      </w:r>
      <w:r>
        <w:rPr/>
        <w:tab/>
      </w:r>
      <w:r>
        <w:rPr/>
        <w:fldChar w:fldCharType="begin"/>
      </w:r>
      <w:r>
        <w:rPr/>
        <w:instrText>PAGEREF _Tocvx42nf \h \tdkey uswvsa</w:instrText>
      </w:r>
      <w:r>
        <w:rPr/>
        <w:fldChar w:fldCharType="separate"/>
      </w:r>
      <w:r>
        <w:rPr/>
        <w:t>18</w:t>
      </w:r>
      <w:r>
        <w:rPr/>
        <w:fldChar w:fldCharType="end"/>
      </w:r>
      <w:r>
        <w:rPr/>
        <w:fldChar w:fldCharType="end"/>
      </w:r>
    </w:p>
    <w:p>
      <w:pPr>
        <w:pStyle w:val="tjrwaj"/>
        <w:tabs>
          <w:tab w:val="right" w:leader="dot" w:pos="8312"/>
        </w:tabs>
        <w:rPr/>
      </w:pPr>
      <w:r>
        <w:rPr/>
        <w:fldChar w:fldCharType="begin"/>
      </w:r>
      <w:r>
        <w:rPr/>
        <w:instrText>HYPERLINK \l "_Tocq155oo"</w:instrText>
      </w:r>
      <w:r>
        <w:rPr/>
        <w:fldChar w:fldCharType="separate"/>
      </w:r>
      <w:r>
        <w:rPr>
          <w:rFonts/>
          <w:shd/>
        </w:rPr>
        <w:t>4.1 化学实验计划迭代</w:t>
      </w:r>
      <w:r>
        <w:rPr/>
        <w:tab/>
      </w:r>
      <w:r>
        <w:rPr/>
        <w:fldChar w:fldCharType="begin"/>
      </w:r>
      <w:r>
        <w:rPr/>
        <w:instrText>PAGEREF _Tocq155oo \h \tdkey ugpai0</w:instrText>
      </w:r>
      <w:r>
        <w:rPr/>
        <w:fldChar w:fldCharType="separate"/>
      </w:r>
      <w:r>
        <w:rPr/>
        <w:t>18</w:t>
      </w:r>
      <w:r>
        <w:rPr/>
        <w:fldChar w:fldCharType="end"/>
      </w:r>
      <w:r>
        <w:rPr/>
        <w:fldChar w:fldCharType="end"/>
      </w:r>
    </w:p>
    <w:p>
      <w:pPr>
        <w:pStyle w:val="tjrwaj"/>
        <w:tabs>
          <w:tab w:val="right" w:leader="dot" w:pos="8312"/>
        </w:tabs>
        <w:rPr/>
      </w:pPr>
      <w:r>
        <w:rPr/>
        <w:fldChar w:fldCharType="begin"/>
      </w:r>
      <w:r>
        <w:rPr/>
        <w:instrText>HYPERLINK \l "_Toct6iy7e"</w:instrText>
      </w:r>
      <w:r>
        <w:rPr/>
        <w:fldChar w:fldCharType="separate"/>
      </w:r>
      <w:r>
        <w:rPr>
          <w:rFonts w:hint="eastAsia"/>
          <w:shd/>
        </w:rPr>
        <w:t>4.2 化学真机实验迭代</w:t>
      </w:r>
      <w:r>
        <w:rPr/>
        <w:tab/>
      </w:r>
      <w:r>
        <w:rPr/>
        <w:fldChar w:fldCharType="begin"/>
      </w:r>
      <w:r>
        <w:rPr/>
        <w:instrText>PAGEREF _Toct6iy7e \h \tdkey 255inr</w:instrText>
      </w:r>
      <w:r>
        <w:rPr/>
        <w:fldChar w:fldCharType="separate"/>
      </w:r>
      <w:r>
        <w:rPr/>
        <w:t>20</w:t>
      </w:r>
      <w:r>
        <w:rPr/>
        <w:fldChar w:fldCharType="end"/>
      </w:r>
      <w:r>
        <w:rPr/>
        <w:fldChar w:fldCharType="end"/>
      </w:r>
    </w:p>
    <w:p>
      <w:pPr>
        <w:pStyle w:val="vao1v0"/>
        <w:tabs>
          <w:tab w:val="right" w:leader="dot" w:pos="8312"/>
        </w:tabs>
        <w:rPr/>
      </w:pPr>
      <w:r>
        <w:rPr/>
        <w:fldChar w:fldCharType="begin"/>
      </w:r>
      <w:r>
        <w:rPr/>
        <w:instrText>HYPERLINK \l "_Tocmq6lh6"</w:instrText>
      </w:r>
      <w:r>
        <w:rPr/>
        <w:fldChar w:fldCharType="separate"/>
      </w:r>
      <w:r>
        <w:rPr>
          <w:rFonts w:hint="eastAsia"/>
          <w:shd/>
        </w:rPr>
        <w:t>4.2.1 方案与实验设置</w:t>
      </w:r>
      <w:r>
        <w:rPr/>
        <w:tab/>
      </w:r>
      <w:r>
        <w:rPr/>
        <w:fldChar w:fldCharType="begin"/>
      </w:r>
      <w:r>
        <w:rPr/>
        <w:instrText>PAGEREF _Tocmq6lh6 \h \tdkey qir06k</w:instrText>
      </w:r>
      <w:r>
        <w:rPr/>
        <w:fldChar w:fldCharType="separate"/>
      </w:r>
      <w:r>
        <w:rPr/>
        <w:t>20</w:t>
      </w:r>
      <w:r>
        <w:rPr/>
        <w:fldChar w:fldCharType="end"/>
      </w:r>
      <w:r>
        <w:rPr/>
        <w:fldChar w:fldCharType="end"/>
      </w:r>
    </w:p>
    <w:p>
      <w:pPr>
        <w:pStyle w:val="vao1v0"/>
        <w:tabs>
          <w:tab w:val="right" w:leader="dot" w:pos="8312"/>
        </w:tabs>
        <w:rPr/>
      </w:pPr>
      <w:r>
        <w:rPr/>
        <w:fldChar w:fldCharType="begin"/>
      </w:r>
      <w:r>
        <w:rPr/>
        <w:instrText>HYPERLINK \l "_Tocx3b26z"</w:instrText>
      </w:r>
      <w:r>
        <w:rPr/>
        <w:fldChar w:fldCharType="separate"/>
      </w:r>
      <w:r>
        <w:rPr>
          <w:rFonts w:hint="eastAsia"/>
          <w:shd/>
        </w:rPr>
        <w:t>4.2.2 实验结果与关键迭代</w:t>
      </w:r>
      <w:r>
        <w:rPr/>
        <w:tab/>
      </w:r>
      <w:r>
        <w:rPr/>
        <w:fldChar w:fldCharType="begin"/>
      </w:r>
      <w:r>
        <w:rPr/>
        <w:instrText>PAGEREF _Tocx3b26z \h \tdkey ph3nec</w:instrText>
      </w:r>
      <w:r>
        <w:rPr/>
        <w:fldChar w:fldCharType="separate"/>
      </w:r>
      <w:r>
        <w:rPr/>
        <w:t>21</w:t>
      </w:r>
      <w:r>
        <w:rPr/>
        <w:fldChar w:fldCharType="end"/>
      </w:r>
      <w:r>
        <w:rPr/>
        <w:fldChar w:fldCharType="end"/>
      </w:r>
    </w:p>
    <w:p>
      <w:pPr>
        <w:pStyle w:val="vao1v0"/>
        <w:tabs>
          <w:tab w:val="right" w:leader="dot" w:pos="8312"/>
        </w:tabs>
        <w:rPr/>
      </w:pPr>
      <w:r>
        <w:rPr/>
        <w:fldChar w:fldCharType="begin"/>
      </w:r>
      <w:r>
        <w:rPr/>
        <w:instrText>HYPERLINK \l "_Tocozjudp"</w:instrText>
      </w:r>
      <w:r>
        <w:rPr/>
        <w:fldChar w:fldCharType="separate"/>
      </w:r>
      <w:r>
        <w:rPr>
          <w:rFonts w:hint="eastAsia"/>
          <w:shd/>
        </w:rPr>
        <w:t>4.2.3 结论</w:t>
      </w:r>
      <w:r>
        <w:rPr/>
        <w:tab/>
      </w:r>
      <w:r>
        <w:rPr/>
        <w:fldChar w:fldCharType="begin"/>
      </w:r>
      <w:r>
        <w:rPr/>
        <w:instrText>PAGEREF _Tocozjudp \h \tdkey 66zirj</w:instrText>
      </w:r>
      <w:r>
        <w:rPr/>
        <w:fldChar w:fldCharType="separate"/>
      </w:r>
      <w:r>
        <w:rPr/>
        <w:t>22</w:t>
      </w:r>
      <w:r>
        <w:rPr/>
        <w:fldChar w:fldCharType="end"/>
      </w:r>
      <w:r>
        <w:rPr/>
        <w:fldChar w:fldCharType="end"/>
      </w:r>
    </w:p>
    <w:p>
      <w:pPr>
        <w:pStyle w:val="tjrwaj"/>
        <w:tabs>
          <w:tab w:val="right" w:leader="dot" w:pos="8312"/>
        </w:tabs>
        <w:rPr/>
      </w:pPr>
      <w:r>
        <w:rPr/>
        <w:fldChar w:fldCharType="begin"/>
      </w:r>
      <w:r>
        <w:rPr/>
        <w:instrText>HYPERLINK \l "_Tocb3rt2r"</w:instrText>
      </w:r>
      <w:r>
        <w:rPr/>
        <w:fldChar w:fldCharType="separate"/>
      </w:r>
      <w:r>
        <w:rPr>
          <w:rFonts w:hint="eastAsia"/>
          <w:shd/>
        </w:rPr>
        <w:t>4.3 基于机理可解释性的化学模型安全应用与部署</w:t>
      </w:r>
      <w:r>
        <w:rPr/>
        <w:tab/>
      </w:r>
      <w:r>
        <w:rPr/>
        <w:fldChar w:fldCharType="begin"/>
      </w:r>
      <w:r>
        <w:rPr/>
        <w:instrText>PAGEREF _Tocb3rt2r \h \tdkey rq01nu</w:instrText>
      </w:r>
      <w:r>
        <w:rPr/>
        <w:fldChar w:fldCharType="separate"/>
      </w:r>
      <w:r>
        <w:rPr/>
        <w:t>22</w:t>
      </w:r>
      <w:r>
        <w:rPr/>
        <w:fldChar w:fldCharType="end"/>
      </w:r>
      <w:r>
        <w:rPr/>
        <w:fldChar w:fldCharType="end"/>
      </w:r>
    </w:p>
    <w:p>
      <w:pPr>
        <w:pStyle w:val="vao1v0"/>
        <w:tabs>
          <w:tab w:val="right" w:leader="dot" w:pos="8312"/>
        </w:tabs>
        <w:rPr/>
      </w:pPr>
      <w:r>
        <w:rPr/>
        <w:fldChar w:fldCharType="begin"/>
      </w:r>
      <w:r>
        <w:rPr/>
        <w:instrText>HYPERLINK \l "_Tocvy36zg"</w:instrText>
      </w:r>
      <w:r>
        <w:rPr/>
        <w:fldChar w:fldCharType="separate"/>
      </w:r>
      <w:r>
        <w:rPr>
          <w:rFonts w:hint="eastAsia"/>
          <w:shd/>
        </w:rPr>
        <w:t>4.3.1 方案与实验设置</w:t>
      </w:r>
      <w:r>
        <w:rPr/>
        <w:tab/>
      </w:r>
      <w:r>
        <w:rPr/>
        <w:fldChar w:fldCharType="begin"/>
      </w:r>
      <w:r>
        <w:rPr/>
        <w:instrText>PAGEREF _Tocvy36zg \h \tdkey o5y87u</w:instrText>
      </w:r>
      <w:r>
        <w:rPr/>
        <w:fldChar w:fldCharType="separate"/>
      </w:r>
      <w:r>
        <w:rPr/>
        <w:t>23</w:t>
      </w:r>
      <w:r>
        <w:rPr/>
        <w:fldChar w:fldCharType="end"/>
      </w:r>
      <w:r>
        <w:rPr/>
        <w:fldChar w:fldCharType="end"/>
      </w:r>
    </w:p>
    <w:p>
      <w:pPr>
        <w:pStyle w:val="vao1v0"/>
        <w:tabs>
          <w:tab w:val="right" w:leader="dot" w:pos="8312"/>
        </w:tabs>
        <w:rPr/>
      </w:pPr>
      <w:r>
        <w:rPr/>
        <w:fldChar w:fldCharType="begin"/>
      </w:r>
      <w:r>
        <w:rPr/>
        <w:instrText>HYPERLINK \l "_Tocqgbq2m"</w:instrText>
      </w:r>
      <w:r>
        <w:rPr/>
        <w:fldChar w:fldCharType="separate"/>
      </w:r>
      <w:r>
        <w:rPr>
          <w:rFonts w:hint="eastAsia"/>
          <w:shd/>
        </w:rPr>
        <w:t>4.3.2 实验结果与关键迭代</w:t>
      </w:r>
      <w:r>
        <w:rPr/>
        <w:tab/>
      </w:r>
      <w:r>
        <w:rPr/>
        <w:fldChar w:fldCharType="begin"/>
      </w:r>
      <w:r>
        <w:rPr/>
        <w:instrText>PAGEREF _Tocqgbq2m \h \tdkey qjrr3c</w:instrText>
      </w:r>
      <w:r>
        <w:rPr/>
        <w:fldChar w:fldCharType="separate"/>
      </w:r>
      <w:r>
        <w:rPr/>
        <w:t>23</w:t>
      </w:r>
      <w:r>
        <w:rPr/>
        <w:fldChar w:fldCharType="end"/>
      </w:r>
      <w:r>
        <w:rPr/>
        <w:fldChar w:fldCharType="end"/>
      </w:r>
    </w:p>
    <w:p>
      <w:pPr>
        <w:pStyle w:val="vao1v0"/>
        <w:tabs>
          <w:tab w:val="right" w:leader="dot" w:pos="8312"/>
        </w:tabs>
        <w:rPr/>
      </w:pPr>
      <w:r>
        <w:rPr/>
        <w:fldChar w:fldCharType="begin"/>
      </w:r>
      <w:r>
        <w:rPr/>
        <w:instrText>HYPERLINK \l "_Tocaud0i7"</w:instrText>
      </w:r>
      <w:r>
        <w:rPr/>
        <w:fldChar w:fldCharType="separate"/>
      </w:r>
      <w:r>
        <w:rPr>
          <w:rFonts w:hint="eastAsia"/>
          <w:shd/>
        </w:rPr>
        <w:t>4.3.3 结论</w:t>
      </w:r>
      <w:r>
        <w:rPr/>
        <w:tab/>
      </w:r>
      <w:r>
        <w:rPr/>
        <w:fldChar w:fldCharType="begin"/>
      </w:r>
      <w:r>
        <w:rPr/>
        <w:instrText>PAGEREF _Tocaud0i7 \h \tdkey utqfni</w:instrText>
      </w:r>
      <w:r>
        <w:rPr/>
        <w:fldChar w:fldCharType="separate"/>
      </w:r>
      <w:r>
        <w:rPr/>
        <w:t>24</w:t>
      </w:r>
      <w:r>
        <w:rPr/>
        <w:fldChar w:fldCharType="end"/>
      </w:r>
      <w:r>
        <w:rPr/>
        <w:fldChar w:fldCharType="end"/>
      </w:r>
    </w:p>
    <w:p>
      <w:pPr>
        <w:pStyle w:val="zg3yfq"/>
        <w:tabs>
          <w:tab w:val="right" w:leader="dot" w:pos="8312"/>
        </w:tabs>
        <w:rPr/>
      </w:pPr>
      <w:r>
        <w:rPr/>
        <w:fldChar w:fldCharType="begin"/>
      </w:r>
      <w:r>
        <w:rPr/>
        <w:instrText>HYPERLINK \l "_Tockd6fpi"</w:instrText>
      </w:r>
      <w:r>
        <w:rPr/>
        <w:fldChar w:fldCharType="separate"/>
      </w:r>
      <w:r>
        <w:rPr>
          <w:rFonts w:hint="eastAsia"/>
          <w:shd/>
        </w:rPr>
        <w:t>5 核心优势与实施基础</w:t>
      </w:r>
      <w:r>
        <w:rPr/>
        <w:tab/>
      </w:r>
      <w:r>
        <w:rPr/>
        <w:fldChar w:fldCharType="begin"/>
      </w:r>
      <w:r>
        <w:rPr/>
        <w:instrText>PAGEREF _Tockd6fpi \h \tdkey 2cb6fv</w:instrText>
      </w:r>
      <w:r>
        <w:rPr/>
        <w:fldChar w:fldCharType="separate"/>
      </w:r>
      <w:r>
        <w:rPr/>
        <w:t>24</w:t>
      </w:r>
      <w:r>
        <w:rPr/>
        <w:fldChar w:fldCharType="end"/>
      </w:r>
      <w:r>
        <w:rPr/>
        <w:fldChar w:fldCharType="end"/>
      </w:r>
    </w:p>
    <w:p>
      <w:pPr>
        <w:pStyle w:val="tjrwaj"/>
        <w:tabs>
          <w:tab w:val="right" w:leader="dot" w:pos="8312"/>
        </w:tabs>
        <w:rPr/>
      </w:pPr>
      <w:r>
        <w:rPr/>
        <w:fldChar w:fldCharType="begin"/>
      </w:r>
      <w:r>
        <w:rPr/>
        <w:instrText>HYPERLINK \l "_Toc55hjia"</w:instrText>
      </w:r>
      <w:r>
        <w:rPr/>
        <w:fldChar w:fldCharType="separate"/>
      </w:r>
      <w:r>
        <w:rPr>
          <w:rFonts w:hint="eastAsia"/>
          <w:i w:val="0"/>
          <w:strike w:val="0"/>
          <w:shd/>
        </w:rPr>
        <w:t>5.1 高水平交叉团队</w:t>
      </w:r>
      <w:r>
        <w:rPr/>
        <w:tab/>
      </w:r>
      <w:r>
        <w:rPr/>
        <w:fldChar w:fldCharType="begin"/>
      </w:r>
      <w:r>
        <w:rPr/>
        <w:instrText>PAGEREF _Toc55hjia \h \tdkey xqmdvj</w:instrText>
      </w:r>
      <w:r>
        <w:rPr/>
        <w:fldChar w:fldCharType="separate"/>
      </w:r>
      <w:r>
        <w:rPr/>
        <w:t>24</w:t>
      </w:r>
      <w:r>
        <w:rPr/>
        <w:fldChar w:fldCharType="end"/>
      </w:r>
      <w:r>
        <w:rPr/>
        <w:fldChar w:fldCharType="end"/>
      </w:r>
    </w:p>
    <w:p>
      <w:pPr>
        <w:pStyle w:val="tjrwaj"/>
        <w:tabs>
          <w:tab w:val="right" w:leader="dot" w:pos="8312"/>
        </w:tabs>
        <w:rPr/>
      </w:pPr>
      <w:r>
        <w:rPr/>
        <w:fldChar w:fldCharType="begin"/>
      </w:r>
      <w:r>
        <w:rPr/>
        <w:instrText>HYPERLINK \l "_Toc11p7eq"</w:instrText>
      </w:r>
      <w:r>
        <w:rPr/>
        <w:fldChar w:fldCharType="separate"/>
      </w:r>
      <w:r>
        <w:rPr>
          <w:rFonts w:hint="eastAsia"/>
          <w:i w:val="0"/>
          <w:strike w:val="0"/>
          <w:shd/>
        </w:rPr>
        <w:t>5.2 完整实验平台</w:t>
      </w:r>
      <w:r>
        <w:rPr/>
        <w:tab/>
      </w:r>
      <w:r>
        <w:rPr/>
        <w:fldChar w:fldCharType="begin"/>
      </w:r>
      <w:r>
        <w:rPr/>
        <w:instrText>PAGEREF _Toc11p7eq \h \tdkey 6nvyac</w:instrText>
      </w:r>
      <w:r>
        <w:rPr/>
        <w:fldChar w:fldCharType="separate"/>
      </w:r>
      <w:r>
        <w:rPr/>
        <w:t>26</w:t>
      </w:r>
      <w:r>
        <w:rPr/>
        <w:fldChar w:fldCharType="end"/>
      </w:r>
      <w:r>
        <w:rPr/>
        <w:fldChar w:fldCharType="end"/>
      </w:r>
    </w:p>
    <w:p>
      <w:pPr>
        <w:pStyle w:val="tjrwaj"/>
        <w:tabs>
          <w:tab w:val="right" w:leader="dot" w:pos="8312"/>
        </w:tabs>
        <w:rPr/>
      </w:pPr>
      <w:r>
        <w:rPr/>
        <w:fldChar w:fldCharType="begin"/>
      </w:r>
      <w:r>
        <w:rPr/>
        <w:instrText>HYPERLINK \l "_Tocke96in"</w:instrText>
      </w:r>
      <w:r>
        <w:rPr/>
        <w:fldChar w:fldCharType="separate"/>
      </w:r>
      <w:r>
        <w:rPr>
          <w:rFonts w:hint="eastAsia"/>
          <w:i w:val="0"/>
          <w:strike w:val="0"/>
          <w:shd/>
        </w:rPr>
        <w:t>5.3 多机构合作</w:t>
      </w:r>
      <w:r>
        <w:rPr/>
        <w:tab/>
      </w:r>
      <w:r>
        <w:rPr/>
        <w:fldChar w:fldCharType="begin"/>
      </w:r>
      <w:r>
        <w:rPr/>
        <w:instrText>PAGEREF _Tocke96in \h \tdkey jnkjn4</w:instrText>
      </w:r>
      <w:r>
        <w:rPr/>
        <w:fldChar w:fldCharType="separate"/>
      </w:r>
      <w:r>
        <w:rPr/>
        <w:t>26</w:t>
      </w:r>
      <w:r>
        <w:rPr/>
        <w:fldChar w:fldCharType="end"/>
      </w:r>
      <w:r>
        <w:rPr/>
        <w:fldChar w:fldCharType="end"/>
      </w:r>
    </w:p>
    <w:p>
      <w:pPr>
        <w:pStyle w:val="zg3yfq"/>
        <w:tabs>
          <w:tab w:val="right" w:leader="dot" w:pos="8312"/>
        </w:tabs>
        <w:rPr/>
      </w:pPr>
      <w:r>
        <w:rPr/>
        <w:fldChar w:fldCharType="begin"/>
      </w:r>
      <w:r>
        <w:rPr/>
        <w:instrText>HYPERLINK \l "_Tocemvzjh"</w:instrText>
      </w:r>
      <w:r>
        <w:rPr/>
        <w:fldChar w:fldCharType="separate"/>
      </w:r>
      <w:r>
        <w:rPr>
          <w:rFonts w:hint="eastAsia"/>
          <w:i w:val="0"/>
          <w:strike w:val="0"/>
          <w:shd/>
        </w:rPr>
        <w:t>6 总结与展望</w:t>
      </w:r>
      <w:r>
        <w:rPr/>
        <w:tab/>
      </w:r>
      <w:r>
        <w:rPr/>
        <w:fldChar w:fldCharType="begin"/>
      </w:r>
      <w:r>
        <w:rPr/>
        <w:instrText>PAGEREF _Tocemvzjh \h \tdkey 2phm51</w:instrText>
      </w:r>
      <w:r>
        <w:rPr/>
        <w:fldChar w:fldCharType="separate"/>
      </w:r>
      <w:r>
        <w:rPr/>
        <w:t>27</w:t>
      </w:r>
      <w:r>
        <w:rPr/>
        <w:fldChar w:fldCharType="end"/>
      </w:r>
      <w:r>
        <w:rPr/>
        <w:fldChar w:fldCharType="end"/>
      </w:r>
    </w:p>
    <w:p>
      <w:pPr>
        <w:pStyle w:val="tjrwaj"/>
        <w:tabs>
          <w:tab w:val="right" w:leader="dot" w:pos="8312"/>
        </w:tabs>
        <w:rPr/>
      </w:pPr>
      <w:r>
        <w:rPr/>
        <w:fldChar w:fldCharType="begin"/>
      </w:r>
      <w:r>
        <w:rPr/>
        <w:instrText>HYPERLINK \l "_Toceyl9qu"</w:instrText>
      </w:r>
      <w:r>
        <w:rPr/>
        <w:fldChar w:fldCharType="separate"/>
      </w:r>
      <w:r>
        <w:rPr>
          <w:rFonts w:hint="eastAsia"/>
          <w:i w:val="0"/>
          <w:strike w:val="0"/>
          <w:shd/>
        </w:rPr>
        <w:t>6.1 形成贯通知识、实验与进化的化学智能科研闭环</w:t>
      </w:r>
      <w:r>
        <w:rPr/>
        <w:tab/>
      </w:r>
      <w:r>
        <w:rPr/>
        <w:fldChar w:fldCharType="begin"/>
      </w:r>
      <w:r>
        <w:rPr/>
        <w:instrText>PAGEREF _Toceyl9qu \h \tdkey 7wr2ie</w:instrText>
      </w:r>
      <w:r>
        <w:rPr/>
        <w:fldChar w:fldCharType="separate"/>
      </w:r>
      <w:r>
        <w:rPr/>
        <w:t>27</w:t>
      </w:r>
      <w:r>
        <w:rPr/>
        <w:fldChar w:fldCharType="end"/>
      </w:r>
      <w:r>
        <w:rPr/>
        <w:fldChar w:fldCharType="end"/>
      </w:r>
    </w:p>
    <w:p>
      <w:pPr>
        <w:pStyle w:val="tjrwaj"/>
        <w:tabs>
          <w:tab w:val="right" w:leader="dot" w:pos="8312"/>
        </w:tabs>
        <w:rPr/>
      </w:pPr>
      <w:r>
        <w:rPr/>
        <w:fldChar w:fldCharType="begin"/>
      </w:r>
      <w:r>
        <w:rPr/>
        <w:instrText>HYPERLINK \l "_Toc0np477"</w:instrText>
      </w:r>
      <w:r>
        <w:rPr/>
        <w:fldChar w:fldCharType="separate"/>
      </w:r>
      <w:r>
        <w:rPr>
          <w:rFonts w:hint="eastAsia"/>
          <w:i w:val="0"/>
          <w:strike w:val="0"/>
          <w:shd/>
        </w:rPr>
        <w:t>6.2 从代表性任务验证走向智能科研基础设施</w:t>
      </w:r>
      <w:r>
        <w:rPr/>
        <w:tab/>
      </w:r>
      <w:r>
        <w:rPr/>
        <w:fldChar w:fldCharType="begin"/>
      </w:r>
      <w:r>
        <w:rPr/>
        <w:instrText>PAGEREF _Toc0np477 \h \tdkey gcieln</w:instrText>
      </w:r>
      <w:r>
        <w:rPr/>
        <w:fldChar w:fldCharType="separate"/>
      </w:r>
      <w:r>
        <w:rPr/>
        <w:t>27</w:t>
      </w:r>
      <w:r>
        <w:rPr/>
        <w:fldChar w:fldCharType="end"/>
      </w:r>
      <w:r>
        <w:rPr/>
        <w:fldChar w:fldCharType="end"/>
      </w:r>
    </w:p>
    <w:p>
      <w:pPr>
        <w:pStyle w:val="zg3yfq"/>
        <w:tabs>
          <w:tab w:val="right" w:leader="dot" w:pos="8312"/>
        </w:tabs>
        <w:rPr/>
      </w:pPr>
      <w:r>
        <w:rPr/>
        <w:fldChar w:fldCharType="begin"/>
      </w:r>
      <w:r>
        <w:rPr/>
        <w:instrText>HYPERLINK \l "_Tocfnamy8"</w:instrText>
      </w:r>
      <w:r>
        <w:rPr/>
        <w:fldChar w:fldCharType="separate"/>
      </w:r>
      <w:r>
        <w:rPr>
          <w:rFonts/>
          <w:shd/>
        </w:rPr>
        <w:t>参考文献</w:t>
      </w:r>
      <w:r>
        <w:rPr/>
        <w:tab/>
      </w:r>
      <w:r>
        <w:rPr/>
        <w:fldChar w:fldCharType="begin"/>
      </w:r>
      <w:r>
        <w:rPr/>
        <w:instrText>PAGEREF _Tocfnamy8 \h \tdkey 9h0dyp</w:instrText>
      </w:r>
      <w:r>
        <w:rPr/>
        <w:fldChar w:fldCharType="separate"/>
      </w:r>
      <w:r>
        <w:rPr/>
        <w:t>29</w:t>
      </w:r>
      <w:r>
        <w:rPr/>
        <w:fldChar w:fldCharType="end"/>
      </w:r>
      <w:r>
        <w:rPr/>
        <w:fldChar w:fldCharType="end"/>
      </w:r>
    </w:p>
    <w:p>
      <w:pPr>
        <w:rPr/>
      </w:pPr>
      <w:r>
        <w:rPr/>
        <w:fldChar w:fldCharType="end"/>
      </w:r>
    </w:p>
    <w:p>
      <w:pPr>
        <w:pStyle w:val="000002"/>
        <w:numPr/>
        <w:pBdr/>
        <w:ind/>
        <w:rPr>
          <w:rFonts w:hint="eastAsia"/>
        </w:rPr>
      </w:pPr>
      <w:bookmarkStart w:id="10" w:name="_Toco783um"/>
      <w:r>
        <w:rPr>
          <w:rFonts w:hint="eastAsia"/>
        </w:rPr>
        <w:t>1 作品信息与核心结果</w:t>
      </w:r>
      <w:bookmarkEnd w:id="10"/>
    </w:p>
    <w:p>
      <w:pPr>
        <w:pStyle w:val="000003"/>
        <w:numPr/>
        <w:pBdr/>
        <w:ind/>
        <w:rPr>
          <w:rFonts w:hint="eastAsia"/>
        </w:rPr>
      </w:pPr>
      <w:bookmarkStart w:id="11" w:name="_Tocjsbqel"/>
      <w:r>
        <w:rPr>
          <w:rFonts w:hint="eastAsia"/>
        </w:rPr>
        <w:t>1.1 参赛团队信息</w:t>
      </w:r>
      <w:bookmarkEnd w:id="11"/>
    </w:p>
    <w:p>
      <w:pPr>
        <w:pStyle w:val="000003"/>
        <w:numPr/>
        <w:pBdr/>
        <w:ind/>
        <w:jc w:val="center"/>
        <w:rPr>
          <w:rFonts w:hint="eastAsia"/>
        </w:rPr>
      </w:pPr>
      <w:r>
        <w:rPr/>
        <w:drawing>
          <wp:inline distT="0" distB="0" distL="0" distR="0">
            <wp:extent cx="4878070" cy="3377348"/>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11"/>
                    <a:srcRect/>
                    <a:stretch/>
                  </pic:blipFill>
                  <pic:spPr>
                    <a:xfrm flipH="0" flipV="0">
                      <a:off x="0" y="0"/>
                      <a:ext cx="4878070" cy="3377348"/>
                    </a:xfrm>
                    <a:prstGeom prst="rect">
                      <a:avLst/>
                    </a:prstGeom>
                    <a:ln/>
                  </pic:spPr>
                </pic:pic>
              </a:graphicData>
            </a:graphic>
          </wp:inline>
        </w:drawing>
      </w:r>
    </w:p>
    <w:p>
      <w:pPr>
        <w:pStyle w:val="000003"/>
        <w:numPr/>
        <w:pBdr/>
        <w:ind/>
        <w:rPr>
          <w:rFonts w:hint="eastAsia"/>
        </w:rPr>
      </w:pPr>
      <w:bookmarkStart w:id="12" w:name="_Toc19232w"/>
      <w:r>
        <w:rPr>
          <w:rFonts w:hint="eastAsia"/>
        </w:rPr>
        <w:t>1.2 作品基本信息/最终交付内容</w:t>
      </w:r>
      <w:bookmarkEnd w:id="12"/>
    </w:p>
    <w:tbl>
      <w:tblPr>
        <w:tblStyle w:val="000015"/>
        <w:tblLayout w:type="fixed"/>
        <w:tblLook w:firstRow="1" w:lastRow="0" w:firstColumn="1" w:lastColumn="0" w:noHBand="0" w:noVBand="1"/>
      </w:tblPr>
      <w:tblGrid>
        <w:gridCol w:w="3135"/>
        <w:gridCol w:w="5145"/>
      </w:tblGrid>
      <w:tr>
        <w:trPr>
          <w:wBefore/>
          <w:trHeight/>
        </w:trPr>
        <w:tc>
          <w:tcPr>
            <w:tcW w:w="3135" w:type="dxa"/>
          </w:tcPr>
          <w:p>
            <w:pPr>
              <w:pStyle w:val="eti4qs"/>
              <w:snapToGrid w:val="0"/>
              <w:spacing w:before="0" w:after="0" w:line="240"/>
              <w:ind w:firstLineChars="0"/>
              <w:rPr>
                <w:b w:val="0"/>
                <w:sz w:val="21"/>
              </w:rPr>
            </w:pPr>
            <w:r>
              <w:rPr>
                <w:b w:val="0"/>
                <w:sz w:val="21"/>
              </w:rPr>
              <w:t>挑战杯报名时参赛作品名称</w:t>
            </w:r>
          </w:p>
        </w:tc>
        <w:tc>
          <w:tcPr>
            <w:tcW w:w="5145" w:type="dxa"/>
          </w:tcPr>
          <w:p>
            <w:pPr>
              <w:pStyle w:val="eti4qs"/>
              <w:snapToGrid w:val="0"/>
              <w:spacing w:before="0" w:after="0" w:line="240"/>
              <w:ind w:firstLineChars="200"/>
              <w:rPr>
                <w:b w:val="0"/>
                <w:sz w:val="21"/>
              </w:rPr>
            </w:pPr>
            <w:r>
              <w:rPr>
                <w:b w:val="0"/>
                <w:sz w:val="21"/>
              </w:rPr>
              <w:t>自动化AI科学家</w:t>
            </w:r>
          </w:p>
        </w:tc>
      </w:tr>
      <w:tr>
        <w:trPr>
          <w:wBefore/>
          <w:trHeight/>
        </w:trPr>
        <w:tc>
          <w:tcPr>
            <w:tcW w:w="3135" w:type="dxa"/>
          </w:tcPr>
          <w:p>
            <w:pPr>
              <w:pStyle w:val="eti4qs"/>
              <w:snapToGrid w:val="0"/>
              <w:spacing w:before="0" w:after="0" w:line="240"/>
              <w:ind w:firstLineChars="0"/>
              <w:rPr>
                <w:b w:val="0"/>
                <w:sz w:val="21"/>
              </w:rPr>
            </w:pPr>
            <w:r>
              <w:rPr>
                <w:b w:val="0"/>
                <w:sz w:val="21"/>
              </w:rPr>
              <w:t>最终参赛作品名称</w:t>
            </w:r>
          </w:p>
        </w:tc>
        <w:tc>
          <w:tcPr>
            <w:tcW w:w="5145" w:type="dxa"/>
          </w:tcPr>
          <w:p>
            <w:pPr>
              <w:pStyle w:val="eti4qs"/>
              <w:snapToGrid w:val="0"/>
              <w:spacing w:before="0" w:after="0" w:line="240"/>
              <w:ind w:firstLineChars="200"/>
              <w:rPr>
                <w:b w:val="0"/>
                <w:sz w:val="21"/>
              </w:rPr>
            </w:pPr>
            <w:r>
              <w:rPr>
                <w:b w:val="0"/>
                <w:sz w:val="21"/>
              </w:rPr>
              <w:t>启真Scientist：面向化学的知识—实验闭环智能系统</w:t>
            </w:r>
          </w:p>
        </w:tc>
      </w:tr>
      <w:tr>
        <w:trPr>
          <w:wBefore/>
          <w:trHeight/>
        </w:trPr>
        <w:tc>
          <w:tcPr>
            <w:tcW w:w="3135" w:type="dxa"/>
          </w:tcPr>
          <w:p>
            <w:pPr>
              <w:pStyle w:val="eti4qs"/>
              <w:snapToGrid w:val="0"/>
              <w:spacing w:before="0" w:after="0" w:line="240"/>
              <w:ind w:firstLineChars="0"/>
              <w:rPr>
                <w:b w:val="0"/>
                <w:sz w:val="21"/>
              </w:rPr>
            </w:pPr>
            <w:r>
              <w:rPr>
                <w:b w:val="0"/>
                <w:sz w:val="21"/>
              </w:rPr>
              <w:t>参赛选题</w:t>
            </w:r>
          </w:p>
        </w:tc>
        <w:tc>
          <w:tcPr>
            <w:tcW w:w="5145" w:type="dxa"/>
          </w:tcPr>
          <w:p>
            <w:pPr>
              <w:pStyle w:val="eti4qs"/>
              <w:snapToGrid w:val="0"/>
              <w:spacing w:before="0" w:after="0" w:line="240"/>
              <w:ind w:firstLineChars="200"/>
              <w:rPr>
                <w:b w:val="0"/>
                <w:sz w:val="21"/>
              </w:rPr>
            </w:pPr>
            <w:r>
              <w:rPr>
                <w:b w:val="0"/>
                <w:sz w:val="21"/>
              </w:rPr>
              <w:t>赛道一-选题1-B</w:t>
            </w:r>
          </w:p>
        </w:tc>
      </w:tr>
      <w:tr>
        <w:trPr>
          <w:wBefore/>
          <w:trHeight/>
        </w:trPr>
        <w:tc>
          <w:tcPr>
            <w:tcW w:w="3135" w:type="dxa"/>
          </w:tcPr>
          <w:p>
            <w:pPr>
              <w:pStyle w:val="eti4qs"/>
              <w:snapToGrid w:val="0"/>
              <w:spacing w:before="0" w:after="0" w:line="240"/>
              <w:ind w:firstLineChars="0"/>
              <w:rPr>
                <w:b w:val="0"/>
                <w:sz w:val="21"/>
              </w:rPr>
            </w:pPr>
            <w:r>
              <w:rPr>
                <w:b w:val="0"/>
                <w:sz w:val="21"/>
              </w:rPr>
              <w:t>参赛作品简介（3</w:t>
            </w:r>
            <w:r>
              <w:rPr>
                <w:rFonts w:hint="eastAsia"/>
                <w:b w:val="0"/>
                <w:sz w:val="21"/>
              </w:rPr>
              <w:t>00内</w:t>
            </w:r>
            <w:r>
              <w:rPr>
                <w:b w:val="0"/>
                <w:sz w:val="21"/>
              </w:rPr>
              <w:t>）</w:t>
            </w:r>
          </w:p>
        </w:tc>
        <w:tc>
          <w:tcPr>
            <w:tcW w:w="5145" w:type="dxa"/>
          </w:tcPr>
          <w:p>
            <w:pPr>
              <w:pStyle w:val="eti4qs"/>
              <w:snapToGrid w:val="0"/>
              <w:spacing w:before="0" w:after="0" w:line="240"/>
              <w:ind w:firstLineChars="200"/>
              <w:rPr>
                <w:b w:val="0"/>
                <w:sz w:val="21"/>
              </w:rPr>
            </w:pPr>
            <w:r>
              <w:rPr>
                <w:b w:val="0"/>
                <w:sz w:val="21"/>
              </w:rPr>
              <w:t>启真Scientist是面向化学科研的“知识—实验闭环智能系统”，针对科学知识分散、实验空间巨大、试错成本高以及AI难以自主迭代等问题，构建“知识发现—方案设计—真机实验—科学评价—反馈进化”一体化科研闭环。项目以SciAtlas大规模科学知识图谱拓展跨学科知识发现空间；以SkillNet+LabVLA将科研方案转化为标准化实验技能，驱动真实机械臂和实验装置完成实验；以AutoSciRub结合实验结果、表征与操作轨迹开展科学评价并自主修正后续方案；同时通过机理可解释性识别模型潜在风险，保障真实实验环境中的安全部署，推动AI从科研辅助工具向能够基于实验事实持续学习和自主迭代的AI科学家发展。</w:t>
            </w:r>
          </w:p>
          <w:p>
            <w:pPr>
              <w:pStyle w:val="eti4qs"/>
              <w:snapToGrid w:val="0"/>
              <w:spacing w:before="0" w:after="0" w:line="240"/>
              <w:ind w:firstLineChars="200"/>
              <w:rPr>
                <w:b w:val="0"/>
                <w:sz w:val="21"/>
              </w:rPr>
            </w:pPr>
          </w:p>
        </w:tc>
      </w:tr>
      <w:tr>
        <w:trPr>
          <w:wBefore/>
          <w:trHeight/>
        </w:trPr>
        <w:tc>
          <w:tcPr>
            <w:tcW w:w="3135" w:type="dxa"/>
          </w:tcPr>
          <w:p>
            <w:pPr>
              <w:pStyle w:val="eti4qs"/>
              <w:snapToGrid w:val="0"/>
              <w:spacing w:before="0" w:after="0" w:line="240"/>
              <w:ind w:firstLineChars="0"/>
              <w:rPr>
                <w:b w:val="0"/>
                <w:sz w:val="21"/>
              </w:rPr>
            </w:pPr>
            <w:r>
              <w:rPr>
                <w:b w:val="0"/>
                <w:sz w:val="21"/>
              </w:rPr>
              <w:t>参赛作品使用Qwen大模型及AI技术说明（300字内）</w:t>
            </w:r>
          </w:p>
        </w:tc>
        <w:tc>
          <w:tcPr>
            <w:tcW w:w="5145" w:type="dxa"/>
          </w:tcPr>
          <w:p>
            <w:pPr>
              <w:pStyle w:val="eti4qs"/>
              <w:snapToGrid w:val="0"/>
              <w:spacing w:before="0" w:after="0" w:line="240"/>
              <w:ind w:firstLineChars="0"/>
              <w:rPr>
                <w:b w:val="0"/>
                <w:sz w:val="21"/>
              </w:rPr>
            </w:pPr>
            <w:r>
              <w:rPr>
                <w:b w:val="0"/>
                <w:sz w:val="21"/>
              </w:rPr>
              <w:t>使用 Qwen3.8-Max 作为核心大语言模型，通过 API 调用；整体科研</w:t>
            </w:r>
            <w:r>
              <w:rPr>
                <w:rFonts w:hint="eastAsia"/>
                <w:b w:val="0"/>
                <w:sz w:val="21"/>
              </w:rPr>
              <w:t>流水线</w:t>
            </w:r>
            <w:r>
              <w:rPr>
                <w:b w:val="0"/>
                <w:sz w:val="21"/>
              </w:rPr>
              <w:t>基于 Qoder 运行</w:t>
            </w:r>
          </w:p>
        </w:tc>
      </w:tr>
      <w:tr>
        <w:trPr>
          <w:wBefore/>
          <w:trHeight/>
        </w:trPr>
        <w:tc>
          <w:tcPr>
            <w:tcW w:w="3135" w:type="dxa"/>
          </w:tcPr>
          <w:p>
            <w:pPr>
              <w:pStyle w:val="eti4qs"/>
              <w:snapToGrid w:val="0"/>
              <w:spacing w:before="0" w:after="0" w:line="240"/>
              <w:ind w:firstLineChars="0"/>
              <w:rPr>
                <w:b w:val="0"/>
                <w:sz w:val="21"/>
              </w:rPr>
            </w:pPr>
            <w:r>
              <w:rPr>
                <w:b w:val="0"/>
                <w:sz w:val="21"/>
              </w:rPr>
              <w:t>宣传视频链接</w:t>
            </w:r>
          </w:p>
        </w:tc>
        <w:tc>
          <w:tcPr>
            <w:tcW w:w="5145" w:type="dxa"/>
          </w:tcPr>
          <w:p>
            <w:pPr>
              <w:pStyle w:val="eti4qs"/>
              <w:snapToGrid w:val="0"/>
              <w:spacing w:before="0" w:after="0" w:line="240"/>
              <w:ind w:firstLineChars="200"/>
              <w:rPr>
                <w:b w:val="0"/>
                <w:sz w:val="21"/>
              </w:rPr>
            </w:pPr>
          </w:p>
        </w:tc>
      </w:tr>
      <w:tr>
        <w:trPr>
          <w:wBefore/>
          <w:trHeight/>
        </w:trPr>
        <w:tc>
          <w:tcPr>
            <w:tcW w:w="3135" w:type="dxa"/>
          </w:tcPr>
          <w:p>
            <w:pPr>
              <w:pStyle w:val="eti4qs"/>
              <w:snapToGrid w:val="0"/>
              <w:spacing w:before="0" w:after="0" w:line="240"/>
              <w:ind w:firstLineChars="0"/>
              <w:rPr>
                <w:b w:val="0"/>
                <w:sz w:val="21"/>
              </w:rPr>
            </w:pPr>
            <w:r>
              <w:rPr>
                <w:b w:val="0"/>
                <w:sz w:val="21"/>
              </w:rPr>
              <w:t>可测试API接口</w:t>
            </w:r>
          </w:p>
        </w:tc>
        <w:tc>
          <w:tcPr>
            <w:tcW w:w="5145" w:type="dxa"/>
          </w:tcPr>
          <w:p>
            <w:pPr>
              <w:pStyle w:val="eti4qs"/>
              <w:snapToGrid w:val="0"/>
              <w:spacing w:before="0" w:after="0" w:line="240"/>
              <w:ind w:firstLineChars="200"/>
              <w:rPr>
                <w:b w:val="0"/>
                <w:sz w:val="21"/>
              </w:rPr>
            </w:pPr>
          </w:p>
        </w:tc>
      </w:tr>
      <w:tr>
        <w:trPr>
          <w:wBefore/>
          <w:trHeight/>
        </w:trPr>
        <w:tc>
          <w:tcPr>
            <w:tcW w:w="3135" w:type="dxa"/>
          </w:tcPr>
          <w:p>
            <w:pPr>
              <w:pStyle w:val="eti4qs"/>
              <w:snapToGrid w:val="0"/>
              <w:spacing w:before="0" w:after="0" w:line="240"/>
              <w:ind w:firstLineChars="0"/>
              <w:rPr>
                <w:b w:val="0"/>
                <w:sz w:val="21"/>
              </w:rPr>
            </w:pPr>
            <w:r>
              <w:rPr>
                <w:b w:val="0"/>
                <w:sz w:val="21"/>
              </w:rPr>
              <w:t>源码，代表案例，Qwen凭证</w:t>
            </w:r>
          </w:p>
        </w:tc>
        <w:tc>
          <w:tcPr>
            <w:tcW w:w="5145" w:type="dxa"/>
          </w:tcPr>
          <w:p>
            <w:pPr>
              <w:pStyle w:val="eti4qs"/>
              <w:snapToGrid w:val="0"/>
              <w:spacing w:before="0" w:after="0" w:line="240"/>
              <w:ind w:firstLineChars="200"/>
              <w:rPr>
                <w:b w:val="0"/>
                <w:sz w:val="21"/>
              </w:rPr>
            </w:pPr>
          </w:p>
        </w:tc>
      </w:tr>
    </w:tbl>
    <w:p>
      <w:pPr>
        <w:pStyle w:val="000003"/>
        <w:numPr/>
        <w:pBdr/>
        <w:ind/>
        <w:rPr>
          <w:rFonts w:hint="eastAsia"/>
        </w:rPr>
      </w:pPr>
      <w:bookmarkStart w:id="13" w:name="_Toc0ontxi"/>
      <w:r>
        <w:rPr>
          <w:rFonts w:hint="eastAsia"/>
        </w:rPr>
        <w:t>1.3 本作品核心主张</w:t>
      </w:r>
      <w:bookmarkEnd w:id="13"/>
    </w:p>
    <w:p>
      <w:pPr>
        <w:pStyle w:val="eti4qs"/>
        <w:snapToGrid w:val="0"/>
        <w:spacing w:before="0" w:after="0" w:line="240"/>
        <w:ind w:firstLineChars="200"/>
        <w:rPr>
          <w:b w:val="0"/>
          <w:sz w:val="21"/>
        </w:rPr>
      </w:pPr>
      <w:r>
        <w:rPr>
          <w:rFonts w:hint="eastAsia"/>
          <w:b w:val="1"/>
          <w:sz w:val="21"/>
        </w:rPr>
        <w:t>（1）</w:t>
      </w:r>
      <w:r>
        <w:rPr>
          <w:b w:val="1"/>
          <w:sz w:val="21"/>
        </w:rPr>
        <w:t>本作品针对的具体实验研究问题：</w:t>
      </w:r>
      <w:r>
        <w:rPr>
          <w:b w:val="0"/>
          <w:sz w:val="21"/>
        </w:rPr>
        <w:t xml:space="preserve"> 面向化学科研中知识分散、实验空间大、试错成本高以及真实实验难以自主迭代的问题，研究如何使AI科学家贯通知识发现、方案设计、真机实验、科学评价与反馈进化，并依据真实实验结果持续修正科研决策。</w:t>
      </w:r>
    </w:p>
    <w:p>
      <w:pPr>
        <w:pStyle w:val="eti4qs"/>
        <w:pBdr>
          <w:bottom/>
        </w:pBdr>
        <w:snapToGrid w:val="0"/>
        <w:spacing w:before="0" w:after="0" w:line="240"/>
        <w:ind w:firstLineChars="200"/>
        <w:rPr>
          <w:b w:val="0"/>
          <w:sz w:val="21"/>
        </w:rPr>
      </w:pPr>
      <w:r>
        <w:rPr>
          <w:rFonts w:hint="eastAsia"/>
          <w:b w:val="1"/>
          <w:sz w:val="21"/>
        </w:rPr>
        <w:t>（2）</w:t>
      </w:r>
      <w:r>
        <w:rPr>
          <w:b w:val="1"/>
          <w:sz w:val="21"/>
        </w:rPr>
        <w:t>本作品实际完成的核心方法：</w:t>
      </w:r>
      <w:r>
        <w:rPr>
          <w:b w:val="0"/>
          <w:sz w:val="21"/>
        </w:rPr>
        <w:t xml:space="preserve"> 构建“启真Scientist”知识—实验闭环智能系统，以SciAtlas组织跨学科科学知识，以SkillNet+LabVLA将实验方案转化为机械臂可执行技能，以AutoSciRub评价实验结果并反馈修正后续方案，</w:t>
      </w:r>
      <w:r>
        <w:rPr>
          <w:rFonts w:hint="eastAsia"/>
          <w:b w:val="1"/>
          <w:sz w:val="21"/>
          <w:u w:val="single"/>
        </w:rPr>
        <w:t>曾上榜</w:t>
      </w:r>
      <w:r>
        <w:rPr>
          <w:b w:val="1"/>
          <w:i w:val="0"/>
          <w:strike w:val="0"/>
          <w:spacing w:val="0"/>
          <w:sz w:val="21"/>
          <w:u w:val="single"/>
        </w:rPr>
        <w:t>上海人工智能实验室</w:t>
      </w:r>
      <w:r>
        <w:rPr>
          <w:rFonts w:hint="eastAsia"/>
          <w:b w:val="1"/>
          <w:sz w:val="21"/>
          <w:u w:val="single"/>
        </w:rPr>
        <w:t>AI科学家榜单</w:t>
      </w:r>
      <w:r>
        <w:rPr>
          <w:b w:val="1"/>
          <w:i w:val="0"/>
          <w:strike w:val="0"/>
          <w:spacing w:val="0"/>
          <w:sz w:val="21"/>
          <w:u w:val="single"/>
        </w:rPr>
        <w:t>ResearchClawBenc</w:t>
      </w:r>
      <w:r>
        <w:rPr>
          <w:rFonts w:hint="eastAsia"/>
          <w:b w:val="1"/>
          <w:i w:val="0"/>
          <w:strike w:val="0"/>
          <w:spacing w:val="0"/>
          <w:sz w:val="21"/>
          <w:u w:val="single"/>
        </w:rPr>
        <w:t>h全球第一名（2026年8月）</w:t>
      </w:r>
      <w:r>
        <w:rPr>
          <w:rFonts w:hint="eastAsia"/>
          <w:i w:val="0"/>
          <w:strike w:val="0"/>
          <w:spacing w:val="0"/>
          <w:sz w:val="21"/>
          <w:u w:val="none"/>
        </w:rPr>
        <w:t>，</w:t>
      </w:r>
      <w:r>
        <w:rPr>
          <w:b w:val="0"/>
          <w:sz w:val="21"/>
        </w:rPr>
        <w:t>同时引入机理可解释性开展部署前风险识别，形成“知识启发—真机验证—评价反馈—自主迭代”闭环。</w:t>
      </w:r>
    </w:p>
    <w:p>
      <w:pPr>
        <w:pStyle w:val="eti4qs"/>
        <w:snapToGrid w:val="0"/>
        <w:spacing w:before="0" w:after="0" w:line="240"/>
        <w:ind w:firstLineChars="200"/>
        <w:rPr>
          <w:b w:val="0"/>
          <w:sz w:val="21"/>
        </w:rPr>
      </w:pPr>
      <w:r>
        <w:rPr>
          <w:rFonts w:hint="eastAsia"/>
          <w:b w:val="1"/>
          <w:sz w:val="21"/>
        </w:rPr>
        <w:t>（3）</w:t>
      </w:r>
      <w:r>
        <w:rPr>
          <w:b w:val="1"/>
          <w:sz w:val="21"/>
        </w:rPr>
        <w:t>最有代表性的结果1（对象、口径、结果）：</w:t>
      </w:r>
      <w:r>
        <w:rPr>
          <w:b w:val="0"/>
          <w:sz w:val="21"/>
        </w:rPr>
        <w:t xml:space="preserve"> 面向官方125道科学问题中的“是否还能发现新的颜色颜料”，启真Scientist围绕Mn/Cr氧化物开展自主研究，从4篇种子论文扩展至21篇关联论文并构建证据图，识别关键科学缺口。系统依据评价反馈连续迭代3轮，将初始构想逐步修订为可检验的“潜在缺陷—光学代理模型”假设，并生成包含实验步骤、对照、评价及回退条件的研究计划，实现知识检索—假设生成—评价修订—实验设计的自主迭代。</w:t>
      </w:r>
    </w:p>
    <w:p>
      <w:pPr>
        <w:pStyle w:val="eti4qs"/>
        <w:snapToGrid w:val="0"/>
        <w:spacing w:before="0" w:after="0" w:line="240"/>
        <w:ind w:firstLineChars="200"/>
        <w:rPr>
          <w:b w:val="0"/>
          <w:sz w:val="21"/>
        </w:rPr>
      </w:pPr>
      <w:r>
        <w:rPr>
          <w:rFonts w:hint="eastAsia"/>
          <w:b w:val="1"/>
          <w:sz w:val="21"/>
        </w:rPr>
        <w:t>（4）</w:t>
      </w:r>
      <w:r>
        <w:rPr>
          <w:b w:val="1"/>
          <w:sz w:val="21"/>
        </w:rPr>
        <w:t>最有代表性的结果</w:t>
      </w:r>
      <w:r>
        <w:rPr>
          <w:rFonts w:hint="eastAsia"/>
          <w:b w:val="1"/>
          <w:sz w:val="21"/>
        </w:rPr>
        <w:t>2</w:t>
      </w:r>
      <w:r>
        <w:rPr>
          <w:b w:val="1"/>
          <w:sz w:val="21"/>
        </w:rPr>
        <w:t>（对象、口径、结果）</w:t>
      </w:r>
      <w:r>
        <w:rPr>
          <w:rFonts w:hint="eastAsia"/>
          <w:b w:val="1"/>
          <w:sz w:val="21"/>
        </w:rPr>
        <w:t>：</w:t>
      </w:r>
      <w:r>
        <w:rPr>
          <w:b w:val="0"/>
          <w:sz w:val="21"/>
        </w:rPr>
        <w:t>在Suzuki–Miyaura偶联反应条件优化中，与Atlas基线采用相同初始数据、候选空间和20轮实验预算；启真Scientist通过逐轮“实验—反馈—再决策”，第11轮即获得96.30%产率，较基线提前5轮达到≥95%目标，所需实验减少31.25%，并在20轮内发现4个≥95%的高产率新条件，</w:t>
      </w:r>
      <w:r>
        <w:rPr>
          <w:rFonts w:hint="eastAsia"/>
          <w:b w:val="0"/>
          <w:sz w:val="21"/>
        </w:rPr>
        <w:t>相比之下，</w:t>
      </w:r>
      <w:r>
        <w:rPr>
          <w:b w:val="0"/>
          <w:sz w:val="21"/>
        </w:rPr>
        <w:t>基线仅发现1个。</w:t>
      </w:r>
    </w:p>
    <w:p>
      <w:pPr>
        <w:pStyle w:val="eti4qs"/>
        <w:snapToGrid w:val="0"/>
        <w:spacing w:before="0" w:after="0" w:line="240"/>
        <w:ind w:firstLineChars="200"/>
        <w:rPr>
          <w:b w:val="0"/>
          <w:sz w:val="21"/>
        </w:rPr>
      </w:pPr>
      <w:r>
        <w:rPr>
          <w:b w:val="1"/>
          <w:sz w:val="21"/>
        </w:rPr>
        <w:t>（</w:t>
      </w:r>
      <w:r>
        <w:rPr>
          <w:rFonts w:hint="eastAsia"/>
          <w:b w:val="1"/>
          <w:sz w:val="21"/>
        </w:rPr>
        <w:t>5</w:t>
      </w:r>
      <w:r>
        <w:rPr>
          <w:b w:val="1"/>
          <w:sz w:val="21"/>
        </w:rPr>
        <w:t>）最有代表性的结果</w:t>
      </w:r>
      <w:r>
        <w:rPr>
          <w:rFonts w:hint="eastAsia"/>
          <w:b w:val="1"/>
          <w:sz w:val="21"/>
        </w:rPr>
        <w:t>3</w:t>
      </w:r>
      <w:r>
        <w:rPr>
          <w:b w:val="1"/>
          <w:sz w:val="21"/>
        </w:rPr>
        <w:t>（对象、口径、结果）</w:t>
      </w:r>
      <w:r>
        <w:rPr>
          <w:rFonts w:hint="eastAsia"/>
          <w:b w:val="1"/>
          <w:sz w:val="21"/>
        </w:rPr>
        <w:t>：</w:t>
      </w:r>
      <w:r>
        <w:rPr>
          <w:b w:val="0"/>
          <w:sz w:val="21"/>
        </w:rPr>
        <w:t>面向AI科学家进入真实化学实验室前的安全部署，本项目发现一种可绕过常规训练数据内容审查的隐蔽风险传播现象：使用经</w:t>
      </w:r>
      <w:r>
        <w:rPr>
          <w:rFonts w:hint="eastAsia"/>
          <w:b w:val="0"/>
          <w:sz w:val="21"/>
        </w:rPr>
        <w:t>Qwen3.8-Max</w:t>
      </w:r>
      <w:r>
        <w:rPr>
          <w:b w:val="0"/>
          <w:sz w:val="21"/>
        </w:rPr>
        <w:t>逐条筛选为安全的纯文本数据微调Qwen3.5-9B后，学生模型在多模态实验室安全任务中的不安全回答率仍达到48.6%，显著高于未经微调的基线20.3%和安全数据对照组18.3%，表明风险可在语义安全的数据中隐蔽传递并跨模态显现，为模型进入真实实验环境前的机理化风险检测提供了实验依据。</w:t>
      </w:r>
    </w:p>
    <w:p>
      <w:pPr>
        <w:pStyle w:val="eti4qs"/>
        <w:pBdr/>
        <w:snapToGrid w:val="0"/>
        <w:spacing w:before="0" w:after="0" w:line="240"/>
        <w:ind w:firstLineChars="200"/>
        <w:rPr>
          <w:b w:val="0"/>
          <w:sz w:val="21"/>
        </w:rPr>
      </w:pPr>
      <w:r>
        <w:rPr>
          <w:rFonts w:hint="eastAsia"/>
          <w:b w:val="1"/>
          <w:sz w:val="21"/>
        </w:rPr>
        <w:t>（6）</w:t>
      </w:r>
      <w:r>
        <w:rPr>
          <w:b w:val="1"/>
          <w:sz w:val="21"/>
        </w:rPr>
        <w:t>目前仍存在的主要局限：</w:t>
      </w:r>
      <w:r>
        <w:rPr>
          <w:b w:val="0"/>
          <w:sz w:val="21"/>
        </w:rPr>
        <w:t xml:space="preserve"> 当前闭环实验主要在Suzuki–Miyaura偶联等代表性任务及既定实验平台上验证，跨反应类型、跨实验设备的泛化能力仍需进一步检验；同时真实实验中的噪声、异常操作和复杂失败原因仍可能影响反馈归因，知识、实验观测与安全约束的长期自主积累和协同进化机制仍需完善。</w:t>
      </w:r>
      <w:bookmarkEnd w:id="1"/>
      <w:bookmarkEnd w:id="9"/>
      <w:bookmarkStart w:id="14" w:name="_Toc3p1y1b"/>
    </w:p>
    <w:p>
      <w:pPr>
        <w:pStyle w:val="000002"/>
        <w:rPr>
          <w:rFonts w:hint="eastAsia"/>
        </w:rPr>
      </w:pPr>
      <w:bookmarkStart w:id="15" w:name="_Toc3kq6jd"/>
      <w:r>
        <w:rPr>
          <w:rFonts w:hint="eastAsia"/>
        </w:rPr>
        <w:t>2 项目概况</w:t>
      </w:r>
      <w:bookmarkEnd w:id="15"/>
    </w:p>
    <w:p>
      <w:pPr>
        <w:pStyle w:val="8wu08g"/>
        <w:rPr/>
      </w:pPr>
      <w:bookmarkStart w:id="16" w:name="_Tocsf5l2w"/>
      <w:r>
        <w:rPr>
          <w:rFonts w:hint="eastAsia"/>
        </w:rPr>
        <w:t>2</w:t>
      </w:r>
      <w:r>
        <w:rPr/>
        <w:t xml:space="preserve">.1 </w:t>
      </w:r>
      <w:r>
        <w:rPr>
          <w:rFonts w:hint="eastAsia"/>
        </w:rPr>
        <w:t>背景和基础</w:t>
      </w:r>
      <w:bookmarkEnd w:id="14"/>
      <w:bookmarkEnd w:id="16"/>
    </w:p>
    <w:p>
      <w:pPr>
        <w:pStyle w:val="eti4qs"/>
        <w:snapToGrid w:val="0"/>
        <w:spacing w:before="0" w:after="0" w:line="240"/>
        <w:ind w:firstLineChars="200"/>
        <w:rPr>
          <w:b w:val="0"/>
          <w:sz w:val="21"/>
        </w:rPr>
      </w:pPr>
      <w:r>
        <w:rPr>
          <w:b w:val="0"/>
          <w:sz w:val="21"/>
        </w:rPr>
        <w:t>人工智能正在重塑科学发现范式。2013年诺贝尔化学奖指出，计算机对化学家而言已与试管同等重要；十一年后的2024年，诺贝尔物理学奖和化学奖同时授予人工智能相关成果，标志着人工智能正从科学研究的辅助工具，进一步成为推动科学发现的重要力量。2023年Nature综述指出，人工智能已逐步进入假设生成、实验设计、数据采集和结果解释等科研全链条。国际上，Goo</w:t>
      </w:r>
      <w:r>
        <w:rPr>
          <w:b w:val="0"/>
          <w:sz w:val="21"/>
        </w:rPr>
        <w:t>gle AI Co-scientist</w:t>
      </w:r>
      <w:r>
        <w:rPr>
          <w:rFonts w:ascii="Times New Roman" w:hAnsi="Times New Roman" w:cs="Times New Roman"/>
          <w:b w:val="0"/>
          <w:sz w:val="21"/>
          <w:vertAlign w:val="superscript"/>
        </w:rPr>
        <w:t>[1]</w:t>
      </w:r>
      <w:r>
        <w:rPr>
          <w:b w:val="0"/>
          <w:sz w:val="21"/>
        </w:rPr>
        <w:t>、Coscientist</w:t>
      </w:r>
      <w:r>
        <w:rPr>
          <w:rFonts w:ascii="Times New Roman" w:hAnsi="Times New Roman" w:cs="Times New Roman"/>
          <w:b w:val="0"/>
          <w:sz w:val="21"/>
          <w:vertAlign w:val="superscript"/>
        </w:rPr>
        <w:t>[2]</w:t>
      </w:r>
      <w:r>
        <w:rPr>
          <w:b w:val="0"/>
          <w:sz w:val="21"/>
        </w:rPr>
        <w:t>、A-Lab</w:t>
      </w:r>
      <w:r>
        <w:rPr>
          <w:rFonts w:ascii="Times New Roman" w:hAnsi="Times New Roman" w:cs="Times New Roman"/>
          <w:b w:val="0"/>
          <w:sz w:val="21"/>
          <w:vertAlign w:val="superscript"/>
        </w:rPr>
        <w:t>[3]</w:t>
      </w:r>
      <w:r>
        <w:rPr>
          <w:rFonts w:hint="eastAsia" w:ascii="Times New Roman" w:hAnsi="Times New Roman" w:cs="Times New Roman"/>
          <w:b w:val="0"/>
          <w:sz w:val="21"/>
          <w:vertAlign w:val="superscript"/>
        </w:rPr>
        <w:t xml:space="preserve"> </w:t>
      </w:r>
      <w:r>
        <w:rPr>
          <w:b w:val="0"/>
          <w:sz w:val="21"/>
        </w:rPr>
        <w:t>等相继探索自主科学发现和真实实验闭环；国内“机器化学家小来”等也已展示人工智能自主开展化学实验的潜力。这一趋势也已上升为国家战略。2025年8月，国务院印发《关于深入实施“人工智能+”行动的意见》</w:t>
      </w:r>
      <w:r>
        <w:rPr>
          <w:rFonts w:ascii="Times New Roman" w:hAnsi="Times New Roman" w:cs="Times New Roman"/>
          <w:b w:val="0"/>
          <w:sz w:val="21"/>
          <w:vertAlign w:val="superscript"/>
        </w:rPr>
        <w:t>[</w:t>
      </w:r>
      <w:r>
        <w:rPr>
          <w:rFonts w:hint="eastAsia" w:ascii="Times New Roman" w:hAnsi="Times New Roman" w:cs="Times New Roman"/>
          <w:b w:val="0"/>
          <w:sz w:val="21"/>
          <w:vertAlign w:val="superscript"/>
        </w:rPr>
        <w:t>4</w:t>
      </w:r>
      <w:r>
        <w:rPr>
          <w:rFonts w:ascii="Times New Roman" w:hAnsi="Times New Roman" w:cs="Times New Roman"/>
          <w:b w:val="0"/>
          <w:sz w:val="21"/>
          <w:vertAlign w:val="superscript"/>
        </w:rPr>
        <w:t>]</w:t>
      </w:r>
      <w:r>
        <w:rPr>
          <w:b w:val="0"/>
          <w:sz w:val="21"/>
        </w:rPr>
        <w:t>，将“人工智能+科学技术”列为重点行动，明确提出加快探索人工智能驱动的新型科研范式，加速“从0到1”重大科学发现，并推动智能实验室和自主实验集群建设，实现实验方案设计、实验操作和实验数据分析的智能化、自动化。</w:t>
      </w:r>
    </w:p>
    <w:p>
      <w:pPr>
        <w:pStyle w:val="eti4qs"/>
        <w:pBdr/>
        <w:snapToGrid w:val="0"/>
        <w:spacing w:before="0" w:after="0" w:line="240"/>
        <w:ind w:firstLineChars="200"/>
        <w:rPr>
          <w:b w:val="0"/>
          <w:sz w:val="21"/>
        </w:rPr>
      </w:pPr>
      <w:r>
        <w:rPr>
          <w:b w:val="0"/>
          <w:sz w:val="21"/>
        </w:rPr>
        <w:t>人工智能赋能化学科研向纵深发展，仍面临知识、实验与自主迭代等关键挑战。 化学连接材料、能源、医药、生命和环境等众多基础研究与战略产业，但长期受制于</w:t>
      </w:r>
      <w:r>
        <w:rPr>
          <w:b w:val="1"/>
          <w:sz w:val="21"/>
        </w:rPr>
        <w:t>知识高度分散、实验空间巨大、试错成本高、研发周期长</w:t>
      </w:r>
      <w:r>
        <w:rPr>
          <w:b w:val="0"/>
          <w:sz w:val="21"/>
        </w:rPr>
        <w:t>等瓶颈，一个反应往往涉及催化剂、配体、溶剂、温度、时间等多变量耦合，真实实验又受到试剂、设备、表征与安全约束。面向这一需求，化学科研需要的不只是能够“回答问题”的大模型，而是能够</w:t>
      </w:r>
      <w:r>
        <w:rPr>
          <w:b w:val="1"/>
          <w:sz w:val="21"/>
        </w:rPr>
        <w:t>汇聚科学知识、提出研究方案、执行真实实验，并依据实验事实持续修正决策</w:t>
      </w:r>
      <w:r>
        <w:rPr>
          <w:b w:val="0"/>
          <w:sz w:val="21"/>
        </w:rPr>
        <w:t xml:space="preserve">的AI科学家系统。为此，本项目研发 </w:t>
      </w:r>
      <w:r>
        <w:rPr>
          <w:b w:val="1"/>
          <w:sz w:val="21"/>
        </w:rPr>
        <w:t>“启真Scientist：面向化学的知识—实验闭环智能系统”</w:t>
      </w:r>
      <w:r>
        <w:rPr>
          <w:b w:val="0"/>
          <w:sz w:val="21"/>
        </w:rPr>
        <w:t>。该项目不是单一模型或单个智能体，</w:t>
      </w:r>
      <w:r>
        <w:rPr>
          <w:b w:val="1"/>
          <w:sz w:val="21"/>
        </w:rPr>
        <w:t>而是</w:t>
      </w:r>
      <w:r>
        <w:rPr>
          <w:rFonts w:hint="eastAsia"/>
          <w:b w:val="1"/>
          <w:sz w:val="21"/>
        </w:rPr>
        <w:t>以化学材料合成作为研究背景，实现</w:t>
      </w:r>
      <w:r>
        <w:rPr>
          <w:b w:val="1"/>
          <w:sz w:val="21"/>
        </w:rPr>
        <w:t>“知识发现—方案设计—真机实验—科学评价—反馈进化”的闭环系统</w:t>
      </w:r>
      <w:r>
        <w:rPr>
          <w:b w:val="0"/>
          <w:sz w:val="21"/>
        </w:rPr>
        <w:t>，重点突破</w:t>
      </w:r>
      <w:r>
        <w:rPr>
          <w:rFonts w:hint="eastAsia"/>
          <w:b w:val="0"/>
          <w:sz w:val="21"/>
        </w:rPr>
        <w:t>四</w:t>
      </w:r>
      <w:r>
        <w:rPr>
          <w:b w:val="0"/>
          <w:sz w:val="21"/>
        </w:rPr>
        <w:t>个关键环节：</w:t>
      </w:r>
    </w:p>
    <w:p>
      <w:pPr>
        <w:pStyle w:val="000001"/>
        <w:numPr/>
        <w:pBdr/>
        <w:ind/>
        <w:jc w:val="left"/>
        <w:rPr>
          <w:rFonts w:hint="eastAsia"/>
        </w:rPr>
      </w:pPr>
      <w:r>
        <w:rPr>
          <w:rFonts w:hint="eastAsia"/>
        </w:rPr>
        <w:drawing>
          <wp:inline distT="0" distB="0" distL="0" distR="0">
            <wp:extent cx="5278120" cy="3170787"/>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12"/>
                    <a:stretch/>
                  </pic:blipFill>
                  <pic:spPr>
                    <a:xfrm>
                      <a:off x="0" y="0"/>
                      <a:ext cx="5278120" cy="3170787"/>
                    </a:xfrm>
                    <a:prstGeom prst="rect">
                      <a:avLst/>
                    </a:prstGeom>
                  </pic:spPr>
                </pic:pic>
              </a:graphicData>
            </a:graphic>
          </wp:inline>
        </w:drawing>
      </w:r>
    </w:p>
    <w:p>
      <w:pPr>
        <w:pStyle w:val="3mrkcm"/>
        <w:numPr/>
        <w:pBdr>
          <w:bottom/>
        </w:pBdr>
        <w:ind/>
        <w:rPr/>
      </w:pPr>
      <w:bookmarkStart w:id="17" w:name="_Toc48665318"/>
      <w:bookmarkEnd w:id="17"/>
      <w:r>
        <w:rPr/>
        <w:t>图2.1 启真Scientist知识启发、真机验证</w:t>
      </w:r>
      <w:r>
        <w:rPr>
          <w:rFonts w:hint="eastAsia"/>
        </w:rPr>
        <w:t>、</w:t>
      </w:r>
      <w:r>
        <w:rPr/>
        <w:t>反馈进化</w:t>
      </w:r>
      <w:r>
        <w:rPr>
          <w:i w:val="0"/>
          <w:strike w:val="0"/>
          <w:color w:val="000000"/>
          <w:u w:val="none"/>
        </w:rPr>
        <w:t>与安全部署保障总体架构</w:t>
      </w:r>
    </w:p>
    <w:p>
      <w:pPr>
        <w:pStyle w:val="eti4qs"/>
        <w:snapToGrid w:val="0"/>
        <w:spacing w:before="0" w:after="0" w:line="240"/>
        <w:ind w:firstLineChars="200"/>
        <w:rPr>
          <w:b w:val="0"/>
          <w:sz w:val="21"/>
        </w:rPr>
      </w:pPr>
      <w:r>
        <w:rPr>
          <w:b w:val="1"/>
          <w:sz w:val="21"/>
        </w:rPr>
        <w:t>（1）以知识启发发现，拓展化学发现空间。</w:t>
      </w:r>
      <w:r>
        <w:rPr>
          <w:b w:val="0"/>
          <w:sz w:val="21"/>
        </w:rPr>
        <w:t>具体来说我们构建大规模科学知识图谱</w:t>
      </w:r>
      <w:r>
        <w:rPr>
          <w:b w:val="1"/>
          <w:sz w:val="21"/>
        </w:rPr>
        <w:t>SciAtlas</w:t>
      </w:r>
      <w:r>
        <w:rPr>
          <w:b w:val="0"/>
          <w:sz w:val="21"/>
        </w:rPr>
        <w:t>，覆盖</w:t>
      </w:r>
      <w:r>
        <w:rPr>
          <w:b w:val="1"/>
          <w:sz w:val="21"/>
        </w:rPr>
        <w:t>26个学科、4300万篇科学论文、1.57亿科学实体和30亿知识关系</w:t>
      </w:r>
      <w:r>
        <w:rPr>
          <w:b w:val="0"/>
          <w:sz w:val="21"/>
        </w:rPr>
        <w:t xml:space="preserve">。系统以化学问题为中心，将材料、物理、生命等领域中的科学机制和研究方法引入化学研究，实现从“检索相似论文”向“发现跨学科知识关联”的跃迁，把过去高度依赖专家视野和科学直觉的知识联想转化为可计算、可追溯的科学搜索。 </w:t>
      </w:r>
    </w:p>
    <w:p>
      <w:pPr>
        <w:pStyle w:val="eti4qs"/>
        <w:snapToGrid w:val="0"/>
        <w:spacing w:before="0" w:after="0" w:line="240"/>
        <w:ind w:firstLineChars="200"/>
        <w:rPr>
          <w:b w:val="0"/>
          <w:sz w:val="21"/>
        </w:rPr>
      </w:pPr>
      <w:r>
        <w:rPr>
          <w:b w:val="1"/>
          <w:sz w:val="21"/>
        </w:rPr>
        <w:t>（2）以真机验证假设，加速化学研发进程。</w:t>
      </w:r>
      <w:r>
        <w:rPr>
          <w:b w:val="0"/>
          <w:sz w:val="21"/>
        </w:rPr>
        <w:t>构建基于</w:t>
      </w:r>
      <w:r>
        <w:rPr>
          <w:b w:val="1"/>
          <w:sz w:val="21"/>
        </w:rPr>
        <w:t>SkillNet+LabVLA</w:t>
      </w:r>
      <w:r>
        <w:rPr>
          <w:b w:val="0"/>
          <w:sz w:val="21"/>
        </w:rPr>
        <w:t>的真实实验执行体系，将科研方案转化为加样、倾倒、搅拌、取样、检测等标准化实验技能，使用大模型自动驱动机械臂和实验装置完成物理执行。目前已在</w:t>
      </w:r>
      <w:r>
        <w:rPr>
          <w:b w:val="1"/>
          <w:sz w:val="21"/>
        </w:rPr>
        <w:t>真实Franka机械臂</w:t>
      </w:r>
      <w:r>
        <w:rPr>
          <w:b w:val="0"/>
          <w:sz w:val="21"/>
        </w:rPr>
        <w:t>平台完成液体倾倒、摇匀、磁力搅拌、塞子插拔等实验任务，实现从“AI设计实验”向“AI走进实验室”的跨越。</w:t>
      </w:r>
    </w:p>
    <w:p>
      <w:pPr>
        <w:pStyle w:val="eti4qs"/>
        <w:pBdr/>
        <w:snapToGrid w:val="0"/>
        <w:spacing w:before="0" w:after="0" w:line="240"/>
        <w:ind w:firstLineChars="200"/>
        <w:rPr>
          <w:b w:val="0"/>
          <w:sz w:val="21"/>
        </w:rPr>
      </w:pPr>
      <w:r>
        <w:rPr>
          <w:b w:val="1"/>
          <w:sz w:val="21"/>
        </w:rPr>
        <w:t>（3）以反馈驱动进化，构建自主实验闭环。</w:t>
      </w:r>
      <w:r>
        <w:rPr>
          <w:b w:val="0"/>
          <w:sz w:val="21"/>
        </w:rPr>
        <w:t>构建</w:t>
      </w:r>
      <w:r>
        <w:rPr>
          <w:b w:val="1"/>
          <w:sz w:val="21"/>
        </w:rPr>
        <w:t>AutoSciRub</w:t>
      </w:r>
      <w:r>
        <w:rPr>
          <w:b w:val="0"/>
          <w:sz w:val="21"/>
        </w:rPr>
        <w:t>科学评价与自主迭代机制，将科学目标、实验指标、对照关系、表征证据、安全边界等转化为可执行评价规范。每轮实验结束后，系统综合实验结果、表征信息、设备状态和操作轨迹，判断问题来自</w:t>
      </w:r>
      <w:r>
        <w:rPr>
          <w:b w:val="1"/>
          <w:sz w:val="21"/>
        </w:rPr>
        <w:t>科学假设、实验条件还是物理执行</w:t>
      </w:r>
      <w:r>
        <w:rPr>
          <w:b w:val="0"/>
          <w:sz w:val="21"/>
        </w:rPr>
        <w:t>，并据此自动修正下一轮方案，形成</w:t>
      </w:r>
      <w:r>
        <w:rPr>
          <w:b w:val="1"/>
          <w:sz w:val="21"/>
        </w:rPr>
        <w:t>“知识发现—方案设计—真机实验—科学评价—反馈迭代”</w:t>
      </w:r>
      <w:r>
        <w:rPr>
          <w:b w:val="0"/>
          <w:sz w:val="21"/>
        </w:rPr>
        <w:t>的闭环，使每一次实验都成为下一次科学决策的依据。</w:t>
      </w:r>
    </w:p>
    <w:p>
      <w:pPr>
        <w:pBdr>
          <w:bottom/>
        </w:pBdr>
        <w:snapToGrid w:val="0"/>
        <w:spacing w:before="0" w:after="0" w:line="240"/>
        <w:ind w:firstLineChars="200"/>
        <w:rPr>
          <w:rFonts w:ascii="Arial" w:hAnsi="Arial" w:eastAsia="宋体" w:cs="Arial"/>
          <w:sz w:val="21"/>
        </w:rPr>
      </w:pPr>
      <w:r>
        <w:rPr>
          <w:rFonts w:ascii="Arial" w:hAnsi="Arial" w:eastAsia="宋体" w:cs="Arial"/>
          <w:b w:val="1"/>
          <w:i w:val="0"/>
          <w:strike w:val="0"/>
          <w:color w:val="000000"/>
          <w:sz w:val="21"/>
          <w:u w:val="none"/>
        </w:rPr>
        <w:t>（4）以机理可解释性识别风险，保障</w:t>
      </w:r>
      <w:r>
        <w:rPr>
          <w:rFonts w:hint="eastAsia" w:ascii="Arial" w:hAnsi="Arial" w:eastAsia="宋体" w:cs="Arial"/>
          <w:b w:val="1"/>
          <w:i w:val="0"/>
          <w:strike w:val="0"/>
          <w:color w:val="000000"/>
          <w:sz w:val="21"/>
          <w:u w:val="none"/>
        </w:rPr>
        <w:t>系统</w:t>
      </w:r>
      <w:r>
        <w:rPr>
          <w:rFonts w:ascii="Arial" w:hAnsi="Arial" w:eastAsia="宋体" w:cs="Arial"/>
          <w:b w:val="1"/>
          <w:i w:val="0"/>
          <w:strike w:val="0"/>
          <w:color w:val="000000"/>
          <w:sz w:val="21"/>
          <w:u w:val="none"/>
        </w:rPr>
        <w:t>安全部署。</w:t>
      </w:r>
      <w:r>
        <w:rPr>
          <w:rFonts w:ascii="Arial" w:hAnsi="Arial" w:eastAsia="宋体" w:cs="Arial"/>
          <w:i w:val="0"/>
          <w:strike w:val="0"/>
          <w:color w:val="000000"/>
          <w:sz w:val="21"/>
          <w:u w:val="none"/>
        </w:rPr>
        <w:t>面向大模型直接驱动机械臂和实验装置可能放大安全风险的问题，本项目在模型进入真实实验环境之前开展主动安全检测，识别训练数据内容审查难以发现的隐蔽风险行为；进一步从数据、模型参数与部署行为之间的作用链路出发，探索风险形成和传播的关键机理，为训练数据修正、模型干预与部署边界设定提供可解释依据，使安全治理由部署后的被动纠错前移为部署前的主动预测。</w:t>
      </w:r>
    </w:p>
    <w:p>
      <w:pPr>
        <w:pStyle w:val="eti4qs"/>
        <w:pBdr/>
        <w:snapToGrid w:val="0"/>
        <w:spacing w:before="0" w:after="0" w:line="240"/>
        <w:ind w:firstLineChars="200"/>
        <w:rPr>
          <w:b w:val="0"/>
          <w:sz w:val="21"/>
        </w:rPr>
      </w:pPr>
      <w:r>
        <w:rPr>
          <w:b w:val="1"/>
          <w:sz w:val="21"/>
          <w:u w:val="single"/>
        </w:rPr>
        <w:t>本项目依托“新一代人工智能”国家科技重大专项项目</w:t>
      </w:r>
      <w:r>
        <w:rPr>
          <w:rFonts w:hint="eastAsia"/>
          <w:b w:val="1"/>
          <w:sz w:val="21"/>
          <w:u w:val="single"/>
        </w:rPr>
        <w:t>, 在浙江大学尹建伟教授、陈华钧教授及</w:t>
      </w:r>
      <w:r>
        <w:rPr>
          <w:b w:val="1"/>
          <w:sz w:val="21"/>
          <w:u w:val="single"/>
        </w:rPr>
        <w:t>复旦大学麻生明院士的指导下</w:t>
      </w:r>
      <w:r>
        <w:rPr>
          <w:b w:val="0"/>
          <w:sz w:val="21"/>
        </w:rPr>
        <w:t>，与国内外多家高校和科研机构开展长期合作，在知识图谱、人工智能、AI for Science、科研智能体和智能实验等方向形成了系统性技术积累。项目团队已发表</w:t>
      </w:r>
      <w:r>
        <w:rPr>
          <w:b w:val="1"/>
          <w:sz w:val="21"/>
        </w:rPr>
        <w:t>Nature系列子刊论文11篇</w:t>
      </w:r>
      <w:r>
        <w:rPr>
          <w:b w:val="0"/>
          <w:sz w:val="21"/>
        </w:rPr>
        <w:t>，为启真Scientist进一步建设成为面向</w:t>
      </w:r>
    </w:p>
    <w:p>
      <w:pPr>
        <w:pStyle w:val="eti4qs"/>
        <w:pBdr>
          <w:bottom/>
        </w:pBdr>
        <w:snapToGrid w:val="0"/>
        <w:spacing w:before="0" w:after="0" w:line="240"/>
        <w:ind w:firstLineChars="0"/>
        <w:rPr>
          <w:b w:val="1"/>
          <w:sz w:val="21"/>
        </w:rPr>
      </w:pPr>
      <w:r>
        <w:rPr>
          <w:b w:val="0"/>
          <w:sz w:val="21"/>
        </w:rPr>
        <w:t>化学领域的新型智能科研基础设施奠定了坚实基础。目前，该技术体系已经在真实化学任务中完成验证。在Suzuki–Miyaura偶联反应条件优化中，在相同起点、相同候选空间和相同实验预算下，启真Scientist于</w:t>
      </w:r>
      <w:r>
        <w:rPr>
          <w:b w:val="1"/>
          <w:sz w:val="21"/>
        </w:rPr>
        <w:t>第11轮获得96.30%的高产率结果</w:t>
      </w:r>
      <w:r>
        <w:rPr>
          <w:b w:val="0"/>
          <w:sz w:val="21"/>
        </w:rPr>
        <w:t>，对照方法直到第16轮才达到相同水平，达到目标所需实验量</w:t>
      </w:r>
      <w:r>
        <w:rPr>
          <w:b w:val="1"/>
          <w:sz w:val="21"/>
        </w:rPr>
        <w:t>减少31.25%</w:t>
      </w:r>
      <w:r>
        <w:rPr>
          <w:b w:val="0"/>
          <w:sz w:val="21"/>
        </w:rPr>
        <w:t>；同时，95%以上的高产率新条件由基线的</w:t>
      </w:r>
      <w:r>
        <w:rPr>
          <w:b w:val="1"/>
          <w:sz w:val="21"/>
        </w:rPr>
        <w:t>1个提升至4个</w:t>
      </w:r>
      <w:r>
        <w:rPr>
          <w:b w:val="0"/>
          <w:sz w:val="21"/>
        </w:rPr>
        <w:t>。这表明，启真Scientist不仅能够自动完成实验，更能够利用知识和真实反馈</w:t>
      </w:r>
      <w:r>
        <w:rPr>
          <w:b w:val="1"/>
          <w:sz w:val="21"/>
        </w:rPr>
        <w:t>更早识别高价值方向、减少无效试错、缩短化学研发周期。</w:t>
      </w:r>
    </w:p>
    <w:p>
      <w:pPr>
        <w:pStyle w:val="eti4qs"/>
        <w:snapToGrid w:val="0"/>
        <w:spacing w:before="0" w:after="0" w:line="240"/>
        <w:ind w:firstLineChars="200"/>
        <w:rPr/>
      </w:pPr>
      <w:r>
        <w:rPr>
          <w:b w:val="0"/>
          <w:sz w:val="21"/>
        </w:rPr>
        <w:t>启真Scientist启于知识，验于实验，求真于科学；致力于让人工智能从“读文献、提建议”走向“懂知识、做实验、会判断、能进化</w:t>
      </w:r>
      <w:r>
        <w:rPr>
          <w:rFonts w:hint="eastAsia"/>
          <w:b w:val="0"/>
          <w:sz w:val="21"/>
        </w:rPr>
        <w:t>、可信赖</w:t>
      </w:r>
      <w:r>
        <w:rPr>
          <w:b w:val="0"/>
          <w:sz w:val="21"/>
        </w:rPr>
        <w:t>”，推动化学研究从依赖人工经验的反复试错，迈向知识与实验共同驱动的自主科学发现</w:t>
      </w:r>
      <w:r>
        <w:rPr/>
        <w:t>。</w:t>
      </w:r>
    </w:p>
    <w:p>
      <w:pPr>
        <w:pStyle w:val="8wu08g"/>
        <w:pBdr>
          <w:bottom/>
        </w:pBdr>
        <w:ind/>
        <w:rPr/>
      </w:pPr>
      <w:bookmarkStart w:id="18" w:name="_Toc44084592"/>
      <w:bookmarkStart w:id="19" w:name="_Tocu2aauu"/>
      <w:bookmarkStart w:id="20" w:name="_Tocfhe5wm"/>
      <w:r>
        <w:rPr>
          <w:rFonts w:hint="eastAsia"/>
        </w:rPr>
        <w:t>2</w:t>
      </w:r>
      <w:r>
        <w:rPr/>
        <w:t xml:space="preserve">.2 </w:t>
      </w:r>
      <w:bookmarkEnd w:id="18"/>
      <w:r>
        <w:rPr/>
        <w:t>国内外</w:t>
      </w:r>
      <w:r>
        <w:rPr>
          <w:rFonts w:hint="eastAsia"/>
        </w:rPr>
        <w:t>研究现状</w:t>
      </w:r>
      <w:r>
        <w:rPr/>
        <w:t xml:space="preserve"> </w:t>
      </w:r>
      <w:bookmarkEnd w:id="19"/>
      <w:bookmarkEnd w:id="20"/>
    </w:p>
    <w:p>
      <w:pPr>
        <w:pStyle w:val="000004"/>
        <w:pBdr/>
        <w:ind/>
        <w:rPr/>
      </w:pPr>
      <w:bookmarkStart w:id="21" w:name="_Toch89mz6"/>
      <w:bookmarkStart w:id="22" w:name="_Tocmyddxg"/>
      <w:r>
        <w:rPr>
          <w:rFonts w:hint="eastAsia"/>
        </w:rPr>
        <w:t>2</w:t>
      </w:r>
      <w:r>
        <w:rPr/>
        <w:t xml:space="preserve">.2.1 </w:t>
      </w:r>
      <w:r>
        <w:rPr>
          <w:rFonts w:hint="eastAsia"/>
        </w:rPr>
        <w:t>AI</w:t>
      </w:r>
      <w:r>
        <w:rPr/>
        <w:t>科学家</w:t>
      </w:r>
      <w:r>
        <w:rPr/>
        <w:t xml:space="preserve"> </w:t>
      </w:r>
      <w:bookmarkEnd w:id="21"/>
      <w:bookmarkEnd w:id="22"/>
    </w:p>
    <w:p>
      <w:pPr>
        <w:pStyle w:val="eti4qs"/>
        <w:snapToGrid w:val="0"/>
        <w:spacing w:before="0" w:after="0" w:line="240"/>
        <w:ind w:firstLineChars="200"/>
        <w:rPr>
          <w:b w:val="0"/>
          <w:sz w:val="21"/>
        </w:rPr>
      </w:pPr>
      <w:r>
        <w:rPr>
          <w:b w:val="0"/>
          <w:sz w:val="21"/>
        </w:rPr>
        <w:t>人工智能介入科研经历了由“单项辅助”到“数字化全流程”再到“真实实验闭环”的演进。早期机器学习聚焦蛋白质结构预测、材料筛选、分子设计和数学猜想等边界清晰的子任务，问题提出、方案设计和结果解释仍由研究者完成。大语言模型提供文献理解、多步推理和程序生成能力，智能体框架进一步加入规划、工具调用、记忆与反馈，使模型具备自主决定下一步动作的基础。这一演进体现为三个阶段：（1）从科研链条中的单个环节扩展到问题提出、方案设计、实验执行和结果解释的全过程；（2）从按预设流程执行转为依据中间结果自主决策；（3）从数字环境中的方案生成转为驱动真实装置并根据物理观测重新规划。</w:t>
      </w:r>
    </w:p>
    <w:p>
      <w:pPr>
        <w:pStyle w:val="eti4qs"/>
        <w:snapToGrid w:val="0"/>
        <w:spacing w:before="0" w:after="0" w:line="240"/>
        <w:ind w:firstLineChars="200"/>
        <w:rPr>
          <w:b w:val="0"/>
          <w:sz w:val="21"/>
        </w:rPr>
      </w:pPr>
      <w:r>
        <w:rPr>
          <w:b w:val="0"/>
          <w:sz w:val="21"/>
        </w:rPr>
        <w:t>科学假设生成已由单纯延长推理链转向系统组织科学知识。Google于2026年发表于Nature的AI co-scientist由生成、反思、排序、演化等六类智能体组成，通过竞争排序和科研辩论迭代筛选假设；其提出的cf-PICI噬菌体尾部劫持机制与帝国理工学院历时十余年且尚未发表的实验结论一致。清华大学等提出的OmniScientist</w:t>
      </w:r>
      <w:r>
        <w:rPr>
          <w:rFonts w:ascii="Times New Roman" w:hAnsi="Times New Roman" w:cs="Times New Roman"/>
          <w:b w:val="0"/>
          <w:sz w:val="21"/>
          <w:vertAlign w:val="superscript"/>
        </w:rPr>
        <w:t>[</w:t>
      </w:r>
      <w:r>
        <w:rPr>
          <w:rFonts w:hint="eastAsia" w:ascii="Times New Roman" w:hAnsi="Times New Roman" w:cs="Times New Roman"/>
          <w:b w:val="0"/>
          <w:sz w:val="21"/>
          <w:vertAlign w:val="superscript"/>
        </w:rPr>
        <w:t>5</w:t>
      </w:r>
      <w:r>
        <w:rPr>
          <w:rFonts w:ascii="Times New Roman" w:hAnsi="Times New Roman" w:cs="Times New Roman"/>
          <w:b w:val="0"/>
          <w:sz w:val="21"/>
          <w:vertAlign w:val="superscript"/>
        </w:rPr>
        <w:t>]</w:t>
      </w:r>
      <w:r>
        <w:rPr>
          <w:b w:val="0"/>
          <w:sz w:val="21"/>
        </w:rPr>
        <w:t xml:space="preserve"> 以引文网络和概念关联组织知识，并通过探索、扩展和演化生成研究想法，表明假设质量更依赖知识组织而非推理链长度。</w:t>
      </w:r>
    </w:p>
    <w:p>
      <w:pPr>
        <w:pStyle w:val="eti4qs"/>
        <w:snapToGrid w:val="0"/>
        <w:spacing w:before="0" w:after="0" w:line="240"/>
        <w:ind w:firstLineChars="200"/>
        <w:rPr>
          <w:b w:val="0"/>
          <w:sz w:val="21"/>
        </w:rPr>
      </w:pPr>
      <w:r>
        <w:rPr>
          <w:b w:val="0"/>
          <w:sz w:val="21"/>
        </w:rPr>
        <w:t>研究流程已由分环节自动化发展为贯通研究与投稿的流水线，瓶颈也由“能否执行”转向“结论是否成立”。Sakana AI等于2024年提出的The AI Scientist</w:t>
      </w:r>
      <w:r>
        <w:rPr>
          <w:rFonts w:ascii="Times New Roman" w:hAnsi="Times New Roman" w:cs="Times New Roman"/>
          <w:b w:val="0"/>
          <w:sz w:val="21"/>
          <w:vertAlign w:val="superscript"/>
        </w:rPr>
        <w:t>[</w:t>
      </w:r>
      <w:r>
        <w:rPr>
          <w:rFonts w:hint="eastAsia" w:ascii="Times New Roman" w:hAnsi="Times New Roman" w:cs="Times New Roman"/>
          <w:b w:val="0"/>
          <w:sz w:val="21"/>
          <w:vertAlign w:val="superscript"/>
        </w:rPr>
        <w:t>6</w:t>
      </w:r>
      <w:r>
        <w:rPr>
          <w:rFonts w:ascii="Times New Roman" w:hAnsi="Times New Roman" w:cs="Times New Roman"/>
          <w:b w:val="0"/>
          <w:sz w:val="21"/>
          <w:vertAlign w:val="superscript"/>
        </w:rPr>
        <w:t>]</w:t>
      </w:r>
      <w:r>
        <w:rPr>
          <w:b w:val="0"/>
          <w:sz w:val="21"/>
        </w:rPr>
        <w:t xml:space="preserve"> 已将构想生成、编程、实验、分析、写作和模拟评议串成无人干预的流水线；上海交通大学与上海创智学院的ARIS</w:t>
      </w:r>
      <w:r>
        <w:rPr>
          <w:rFonts w:ascii="Times New Roman" w:hAnsi="Times New Roman" w:cs="Times New Roman"/>
          <w:b w:val="0"/>
          <w:sz w:val="21"/>
          <w:vertAlign w:val="superscript"/>
        </w:rPr>
        <w:t>[</w:t>
      </w:r>
      <w:r>
        <w:rPr>
          <w:rFonts w:hint="eastAsia" w:ascii="Times New Roman" w:hAnsi="Times New Roman" w:cs="Times New Roman"/>
          <w:b w:val="0"/>
          <w:sz w:val="21"/>
          <w:vertAlign w:val="superscript"/>
        </w:rPr>
        <w:t>7</w:t>
      </w:r>
      <w:r>
        <w:rPr>
          <w:rFonts w:ascii="Times New Roman" w:hAnsi="Times New Roman" w:cs="Times New Roman"/>
          <w:b w:val="0"/>
          <w:sz w:val="21"/>
          <w:vertAlign w:val="superscript"/>
        </w:rPr>
        <w:t>]</w:t>
      </w:r>
      <w:r>
        <w:rPr>
          <w:b w:val="0"/>
          <w:sz w:val="21"/>
        </w:rPr>
        <w:t xml:space="preserve"> 又将流程延伸至投稿后的真实环节。</w:t>
      </w:r>
    </w:p>
    <w:p>
      <w:pPr>
        <w:pStyle w:val="eti4qs"/>
        <w:snapToGrid w:val="0"/>
        <w:spacing w:before="0" w:after="0" w:line="240"/>
        <w:ind w:firstLineChars="200"/>
        <w:rPr>
          <w:b w:val="0"/>
          <w:sz w:val="21"/>
        </w:rPr>
      </w:pPr>
      <w:r>
        <w:rPr>
          <w:b w:val="0"/>
          <w:sz w:val="21"/>
        </w:rPr>
        <w:t>真实实验驱动已从方案生成推进到计算、实验和知识更新的自主闭环，但系统仍受平台绑定和过程记录不完整限制。Coscientist、智能X射线科学家、伯克利A-Lab、中国科学技术大学机器化学家小来及星河启智平台已在合成、同步辐射、材料筛选和生命科学等设施上形成不同程度的闭环。A-Lab连续运行17天，在57个目标材料中完成36个合成验证；小来在超过376万种配方中用5周获得产氧催化剂。</w:t>
      </w:r>
    </w:p>
    <w:p>
      <w:pPr>
        <w:pStyle w:val="eti4qs"/>
        <w:snapToGrid w:val="0"/>
        <w:spacing w:before="0" w:after="0" w:line="240"/>
        <w:ind w:firstLineChars="200"/>
        <w:rPr>
          <w:b w:val="0"/>
          <w:sz w:val="21"/>
        </w:rPr>
      </w:pPr>
      <w:bookmarkStart w:id="23" w:name="_Toce00uin"/>
      <w:r>
        <w:rPr>
          <w:b w:val="0"/>
          <w:sz w:val="21"/>
        </w:rPr>
        <w:t>现有AI科学家仍主要受到三方面限制：（1）科研知识仍多以检索片段的形式临时拼接进入模型上下文，不同论文、概念、实验现象与学科之间缺乏稳定的结构化联系，使系统更容易发现局部相关信息，却难以识别跨主题、跨学科乃至跨时间尺度的远距离关联，也难以形成可持续扩展的整体知识空间；（2）系统已经能够执行合成、表征、程序计算和数据处理等具体操作，但“会执行”并不等于“会研究”，对于实验结果意味着什么、失败来自假设错误还是实验条件不足、当前证据是否足以支持结论以及何时应当放弃原有方向等问题，仍缺乏稳定的科学判断能力，因此关键结论往往需要人工复核；（3）数字推理与物理实验之间尚未形成可靠、统一的双向反馈机制，一方面不同仪器和平台接口差异较大，限制了智能体方法跨设备和跨任务泛化，另一方面真实实验中的噪声、随机性和不可重复性增加了失败归因难度，而实验操作、环境条件、异常事件和中间状态记录又往往不完整，使系统难以准确解释观测结果，更难依据真实物理反馈自动重设计下一轮实验。</w:t>
      </w:r>
    </w:p>
    <w:p>
      <w:pPr>
        <w:pStyle w:val="000004"/>
        <w:numPr/>
        <w:pBdr/>
        <w:ind/>
        <w:rPr/>
      </w:pPr>
      <w:bookmarkStart w:id="24" w:name="_Tocqzplnt"/>
      <w:r>
        <w:rPr>
          <w:rFonts w:hint="eastAsia"/>
        </w:rPr>
        <w:t>2</w:t>
      </w:r>
      <w:r>
        <w:rPr/>
        <w:t>.2.2</w:t>
      </w:r>
      <w:r>
        <w:rPr>
          <w:rFonts w:hint="eastAsia"/>
        </w:rPr>
        <w:t xml:space="preserve"> </w:t>
      </w:r>
      <w:r>
        <w:rPr/>
        <w:t>自进化</w:t>
      </w:r>
      <w:r>
        <w:rPr>
          <w:rFonts w:hint="eastAsia"/>
        </w:rPr>
        <w:t>A</w:t>
      </w:r>
      <w:r>
        <w:rPr/>
        <w:t>gent</w:t>
      </w:r>
      <w:bookmarkEnd w:id="23"/>
      <w:bookmarkEnd w:id="24"/>
    </w:p>
    <w:p>
      <w:pPr>
        <w:pStyle w:val="eti4qs"/>
        <w:snapToGrid w:val="0"/>
        <w:spacing w:before="0" w:after="0" w:line="240"/>
        <w:ind w:firstLineChars="200"/>
        <w:rPr>
          <w:b w:val="0"/>
          <w:sz w:val="21"/>
        </w:rPr>
      </w:pPr>
      <w:r>
        <w:rPr>
          <w:b w:val="0"/>
          <w:sz w:val="21"/>
        </w:rPr>
        <w:t>自进化决定AI科学家是一次性工具还是能够持续积累的研究主体。现有系统在一轮研究后不会保留模型参数、经验和求解方法，而科学研究需要持续提出问题、获得证据、修正认识并积累方法。随着模型能力和任务复杂度提升，自进化呈现三项变化：（1）进化对象由单次决策扩展到可复用技能、提示、工具配置、工作流和智能体程序；（2）进化目标由适应既有任务转向发现未知解法；（3）进化信号由结果奖励转向包含轨迹、错误定位和步骤归因的过程信息。</w:t>
      </w:r>
    </w:p>
    <w:p>
      <w:pPr>
        <w:pStyle w:val="eti4qs"/>
        <w:snapToGrid w:val="0"/>
        <w:spacing w:before="0" w:after="0" w:line="240"/>
        <w:ind w:firstLineChars="200"/>
        <w:rPr>
          <w:b w:val="0"/>
          <w:sz w:val="21"/>
        </w:rPr>
      </w:pPr>
      <w:r>
        <w:rPr>
          <w:b w:val="0"/>
          <w:sz w:val="21"/>
        </w:rPr>
        <w:t>智能体的长期积累已由保存执行记录转向形成可跨任务复用的求解方法。Voyager</w:t>
      </w:r>
      <w:r>
        <w:rPr>
          <w:rFonts w:ascii="Times New Roman" w:hAnsi="Times New Roman" w:cs="Times New Roman"/>
          <w:b w:val="0"/>
          <w:sz w:val="21"/>
          <w:vertAlign w:val="superscript"/>
        </w:rPr>
        <w:t>[</w:t>
      </w:r>
      <w:r>
        <w:rPr>
          <w:rFonts w:hint="eastAsia" w:ascii="Times New Roman" w:hAnsi="Times New Roman" w:cs="Times New Roman"/>
          <w:b w:val="0"/>
          <w:sz w:val="21"/>
          <w:vertAlign w:val="superscript"/>
        </w:rPr>
        <w:t>8</w:t>
      </w:r>
      <w:r>
        <w:rPr>
          <w:rFonts w:ascii="Times New Roman" w:hAnsi="Times New Roman" w:cs="Times New Roman"/>
          <w:b w:val="0"/>
          <w:sz w:val="21"/>
          <w:vertAlign w:val="superscript"/>
        </w:rPr>
        <w:t>]</w:t>
      </w:r>
      <w:r>
        <w:rPr>
          <w:b w:val="0"/>
          <w:sz w:val="21"/>
        </w:rPr>
        <w:t xml:space="preserve"> 将探索行为写成可迁移的代码技能；MUSE-Autoskill</w:t>
      </w:r>
      <w:r>
        <w:rPr>
          <w:rFonts w:ascii="Times New Roman" w:hAnsi="Times New Roman" w:cs="Times New Roman"/>
          <w:b w:val="0"/>
          <w:sz w:val="21"/>
          <w:vertAlign w:val="superscript"/>
        </w:rPr>
        <w:t>[</w:t>
      </w:r>
      <w:r>
        <w:rPr>
          <w:rFonts w:hint="eastAsia" w:ascii="Times New Roman" w:hAnsi="Times New Roman" w:cs="Times New Roman"/>
          <w:b w:val="0"/>
          <w:sz w:val="21"/>
          <w:vertAlign w:val="superscript"/>
        </w:rPr>
        <w:t>9</w:t>
      </w:r>
      <w:r>
        <w:rPr>
          <w:rFonts w:ascii="Times New Roman" w:hAnsi="Times New Roman" w:cs="Times New Roman"/>
          <w:b w:val="0"/>
          <w:sz w:val="21"/>
          <w:vertAlign w:val="superscript"/>
        </w:rPr>
        <w:t>]</w:t>
      </w:r>
      <w:r>
        <w:rPr>
          <w:b w:val="0"/>
          <w:sz w:val="21"/>
        </w:rPr>
        <w:t xml:space="preserve"> 建立技能创建、存储、检索、评价和精化的生命周期；AFlow</w:t>
      </w:r>
      <w:r>
        <w:rPr>
          <w:rFonts w:ascii="Times New Roman" w:hAnsi="Times New Roman" w:cs="Times New Roman"/>
          <w:b w:val="0"/>
          <w:sz w:val="21"/>
          <w:vertAlign w:val="superscript"/>
        </w:rPr>
        <w:t>[1</w:t>
      </w:r>
      <w:r>
        <w:rPr>
          <w:rFonts w:hint="eastAsia" w:ascii="Times New Roman" w:hAnsi="Times New Roman" w:cs="Times New Roman"/>
          <w:b w:val="0"/>
          <w:sz w:val="21"/>
          <w:vertAlign w:val="superscript"/>
        </w:rPr>
        <w:t>0</w:t>
      </w:r>
      <w:r>
        <w:rPr>
          <w:rFonts w:ascii="Times New Roman" w:hAnsi="Times New Roman" w:cs="Times New Roman"/>
          <w:b w:val="0"/>
          <w:sz w:val="21"/>
          <w:vertAlign w:val="superscript"/>
        </w:rPr>
        <w:t>]</w:t>
      </w:r>
      <w:r>
        <w:rPr>
          <w:b w:val="0"/>
          <w:sz w:val="21"/>
        </w:rPr>
        <w:t xml:space="preserve"> 通过蒙特卡洛树搜索自动优化工作流，使小模型以GPT-4o推理成本的4.55%达到更高性能。</w:t>
      </w:r>
    </w:p>
    <w:p>
      <w:pPr>
        <w:pStyle w:val="eti4qs"/>
        <w:snapToGrid w:val="0"/>
        <w:spacing w:before="0" w:after="0" w:line="240"/>
        <w:ind w:firstLineChars="200"/>
        <w:rPr>
          <w:b w:val="0"/>
          <w:sz w:val="21"/>
        </w:rPr>
      </w:pPr>
      <w:r>
        <w:rPr>
          <w:b w:val="0"/>
          <w:sz w:val="21"/>
        </w:rPr>
        <w:t>自进化目标已由提高既有任务性能扩展到发现人类未知的算法和架构，但前提是任务具有可自动计算的优劣判据。AlphaEvolve以程序生成、自动评价和进化搜索发现48次标量乘法的4×4复数矩阵乘法算法，改进了Strassen的49次方案；ASI-Arch自主完成1773次实验，发现106个线性注意力架构，最优结果超过Mamba2和Gated DeltaNet等基线，并观察到架构发现数量与算力近似线性增长。</w:t>
      </w:r>
    </w:p>
    <w:p>
      <w:pPr>
        <w:pStyle w:val="eti4qs"/>
        <w:snapToGrid w:val="0"/>
        <w:spacing w:before="0" w:after="0" w:line="240"/>
        <w:ind w:firstLineChars="200"/>
        <w:rPr>
          <w:b w:val="0"/>
          <w:sz w:val="21"/>
        </w:rPr>
      </w:pPr>
      <w:r>
        <w:rPr>
          <w:b w:val="0"/>
          <w:sz w:val="21"/>
        </w:rPr>
        <w:t>进化信号已由单一结果奖励转向利用执行过程诊断错误、分配贡献并沉淀长期记忆。GEPA利用完整轨迹进行语言层面的诊断和反思，定位错误步骤并改写策略；AgentEvolver</w:t>
      </w:r>
      <w:r>
        <w:rPr>
          <w:rFonts w:ascii="Times New Roman" w:hAnsi="Times New Roman" w:cs="Times New Roman"/>
          <w:b w:val="0"/>
          <w:sz w:val="21"/>
          <w:vertAlign w:val="superscript"/>
        </w:rPr>
        <w:t>[1</w:t>
      </w:r>
      <w:r>
        <w:rPr>
          <w:rFonts w:hint="eastAsia" w:ascii="Times New Roman" w:hAnsi="Times New Roman" w:cs="Times New Roman"/>
          <w:b w:val="0"/>
          <w:sz w:val="21"/>
          <w:vertAlign w:val="superscript"/>
        </w:rPr>
        <w:t>1</w:t>
      </w:r>
      <w:r>
        <w:rPr>
          <w:rFonts w:ascii="Times New Roman" w:hAnsi="Times New Roman" w:cs="Times New Roman"/>
          <w:b w:val="0"/>
          <w:sz w:val="21"/>
          <w:vertAlign w:val="superscript"/>
        </w:rPr>
        <w:t>]</w:t>
      </w:r>
      <w:r>
        <w:rPr>
          <w:b w:val="0"/>
          <w:sz w:val="21"/>
        </w:rPr>
        <w:t xml:space="preserve"> 对中间步骤作因果贡献分解，降低人工训练数据依赖；EvoScientist</w:t>
      </w:r>
      <w:r>
        <w:rPr>
          <w:rFonts w:ascii="Times New Roman" w:hAnsi="Times New Roman" w:cs="Times New Roman"/>
          <w:b w:val="0"/>
          <w:sz w:val="21"/>
          <w:vertAlign w:val="superscript"/>
        </w:rPr>
        <w:t>[1</w:t>
      </w:r>
      <w:r>
        <w:rPr>
          <w:rFonts w:hint="eastAsia" w:ascii="Times New Roman" w:hAnsi="Times New Roman" w:cs="Times New Roman"/>
          <w:b w:val="0"/>
          <w:sz w:val="21"/>
          <w:vertAlign w:val="superscript"/>
        </w:rPr>
        <w:t>2</w:t>
      </w:r>
      <w:r>
        <w:rPr>
          <w:rFonts w:ascii="Times New Roman" w:hAnsi="Times New Roman" w:cs="Times New Roman"/>
          <w:b w:val="0"/>
          <w:sz w:val="21"/>
          <w:vertAlign w:val="superscript"/>
        </w:rPr>
        <w:t>]</w:t>
      </w:r>
      <w:r>
        <w:rPr>
          <w:b w:val="0"/>
          <w:sz w:val="21"/>
        </w:rPr>
        <w:t xml:space="preserve"> 以构想记忆和实验记忆保存可行方向、失败尝试及有效策略，减少重复实验，并提升科学构想生成效果。</w:t>
      </w:r>
    </w:p>
    <w:p>
      <w:pPr>
        <w:pStyle w:val="eti4qs"/>
        <w:pBdr/>
        <w:snapToGrid w:val="0"/>
        <w:spacing w:before="0" w:after="0" w:line="240"/>
        <w:ind w:firstLineChars="200"/>
        <w:rPr>
          <w:b w:val="0"/>
          <w:sz w:val="21"/>
        </w:rPr>
      </w:pPr>
      <w:r>
        <w:rPr>
          <w:b w:val="0"/>
          <w:sz w:val="21"/>
        </w:rPr>
        <w:t>然而，现有自进化技术直接用于AI科学家仍存在三方面不足：（1）开放式科研任务中的中间目标、方法要求、预期证据和成功条件往往没有被显式表达，科研任务通常不存在代码执行正确率或单一性能指标这样的明确目标函数，因此系统难以判断当前研究过程究竟应当朝哪个方向改进；（2）现有评价条目往往缺少文献依据、实验数据、领域惯例、仪器条件和执行约束等科学语境支撑，即使能够指出某一步“表现较差”，也难以进一步说明应补充何种证据、调整何种实验设计或遵循何种领域规范；（3）评价仍多停留在任务完成后的整体打分，缺乏对研究过程的细粒度诊断，既难以定位缺陷产生于问题提出、假设设计、实验执行还是结果分析阶段，也难以说明结论成立的条件与适用边界，更无法将一轮研究中形成的判断、证据和方法有效沉淀为后续科研规划、实验验证与研究决策的依据。</w:t>
      </w:r>
    </w:p>
    <w:p>
      <w:pPr>
        <w:pStyle w:val="000004"/>
        <w:pBdr/>
        <w:ind/>
        <w:rPr>
          <w:rFonts w:hint="eastAsia"/>
        </w:rPr>
      </w:pPr>
      <w:bookmarkStart w:id="25" w:name="_Toc1nvv8y"/>
      <w:r>
        <w:rPr>
          <w:rFonts w:hint="eastAsia"/>
        </w:rPr>
        <w:t>2.2.3 化学问题</w:t>
      </w:r>
      <w:bookmarkEnd w:id="25"/>
    </w:p>
    <w:p>
      <w:pPr>
        <w:pStyle w:val="eti4qs"/>
        <w:pBdr/>
        <w:snapToGrid w:val="0"/>
        <w:spacing w:before="0" w:after="0" w:line="240"/>
        <w:ind w:firstLineChars="200"/>
        <w:rPr>
          <w:b w:val="0"/>
          <w:sz w:val="21"/>
        </w:rPr>
      </w:pPr>
      <w:r>
        <w:rPr>
          <w:b w:val="0"/>
          <w:sz w:val="21"/>
        </w:rPr>
        <w:t>化学研究长期面临“知识空间广、实验空间大、试错成本高”的基本矛盾。化学问题通常同时涉及分子结构、反应机理、实验条件和表征结果，而可能的分子、材料与反应组合远超人工能够逐一探索的范围。Nature Reviews Chemistry指出，发现真正新的反应性极具挑战，对新颖性的判断甚至要求研究者掌握近乎完整的现有化学知识。随着科学知识和实验空间持续扩张，仅依靠人工经验已难以系统覆盖潜在的发现空间。</w:t>
      </w:r>
    </w:p>
    <w:p>
      <w:pPr>
        <w:pStyle w:val="eti4qs"/>
        <w:pBdr/>
        <w:snapToGrid w:val="0"/>
        <w:spacing w:before="0" w:after="0" w:line="240"/>
        <w:ind w:firstLineChars="200"/>
        <w:rPr>
          <w:b w:val="0"/>
          <w:sz w:val="21"/>
        </w:rPr>
      </w:pPr>
      <w:r>
        <w:rPr>
          <w:b w:val="0"/>
          <w:sz w:val="21"/>
        </w:rPr>
        <w:t>化学知识发现正由人工经验联想转向机器辅助的大规模知识探索。传统研究高度依赖研究者的知识积累和科学直觉，其探索范围不可避免地受到个人经验限制。Lee Cronin团队指出，自动化系统有望发现新的分子、反应性和反应序列，而现实探索的重要限制之一正是“化学家的偏见”。因此，人工智能能够扩大知识搜索范围，在海量文献和跨学科知识中发现人工容易忽略的潜在联系。</w:t>
      </w:r>
    </w:p>
    <w:p>
      <w:pPr>
        <w:pStyle w:val="eti4qs"/>
        <w:pBdr/>
        <w:snapToGrid w:val="0"/>
        <w:spacing w:before="0" w:after="0" w:line="240"/>
        <w:ind w:firstLineChars="200"/>
        <w:rPr>
          <w:b w:val="0"/>
          <w:sz w:val="21"/>
        </w:rPr>
      </w:pPr>
      <w:r>
        <w:rPr>
          <w:b w:val="0"/>
          <w:sz w:val="21"/>
        </w:rPr>
        <w:t>化学实验优化正由人工试错转向数据驱动的连续决策。化学反应涉及底物、催化剂、配体、溶剂和温度等多变量耦合，传统条件筛选高度依赖经验并需要大量试错。Nature Synthesis综述指出，自驱动实验室结合机器学习、实验自动化和机器人，可根据实验结果迭代选择下一组实验，加速化学空间探索。</w:t>
      </w:r>
    </w:p>
    <w:p>
      <w:pPr>
        <w:pStyle w:val="eti4qs"/>
        <w:pBdr/>
        <w:snapToGrid w:val="0"/>
        <w:spacing w:before="0" w:after="0" w:line="240"/>
        <w:ind w:firstLineChars="200"/>
        <w:rPr>
          <w:b w:val="0"/>
          <w:sz w:val="21"/>
        </w:rPr>
      </w:pPr>
      <w:r>
        <w:rPr>
          <w:b w:val="0"/>
          <w:sz w:val="21"/>
        </w:rPr>
        <w:t>化学自动化正由机械执行转向“实验—反馈—再实验”的自主闭环。自动加样、搅拌和检测能够替代重复操作，但无法解决“下一步做什么”的科学决策问题。Cronin指出，如果系统不能实时判断实验发生了什么，就无法决定下一步搜索方向，因此需要结合实时分析形成闭环控制。</w:t>
      </w:r>
    </w:p>
    <w:p>
      <w:pPr>
        <w:pStyle w:val="eti4qs"/>
        <w:pBdr>
          <w:bottom/>
        </w:pBdr>
        <w:snapToGrid w:val="0"/>
        <w:spacing w:before="0" w:after="0" w:line="240"/>
        <w:ind w:firstLineChars="200"/>
        <w:rPr>
          <w:b w:val="0"/>
          <w:sz w:val="21"/>
        </w:rPr>
      </w:pPr>
      <w:r>
        <w:rPr>
          <w:b w:val="0"/>
          <w:sz w:val="21"/>
        </w:rPr>
        <w:t>因此，人工化学研究仍受到三方面能力边界约束：（1）知识覆盖有限，难以系统发现海量文献中的跨领域关联；（2）实验搜索效率有限，面对高维组合空间仍依赖经验和反复试错；（3）持续实验能力有限，大量重复操作、结果分析和方案调整制约探索效率。人工智能介入的核心价值，在于扩展知识搜索范围、提高实验决策效率，并通过真实实验反馈形成持续迭代的科研闭环。</w:t>
      </w:r>
    </w:p>
    <w:p>
      <w:pPr>
        <w:pStyle w:val="000003"/>
        <w:rPr/>
      </w:pPr>
      <w:bookmarkStart w:id="26" w:name="_Toc1efm67"/>
      <w:r>
        <w:rPr/>
        <w:t>2.</w:t>
      </w:r>
      <w:r>
        <w:rPr>
          <w:rFonts w:hint="eastAsia"/>
        </w:rPr>
        <w:t>3</w:t>
      </w:r>
      <w:r>
        <w:rPr/>
        <w:t xml:space="preserve"> Qwen使用方式</w:t>
      </w:r>
      <w:bookmarkEnd w:id="26"/>
    </w:p>
    <w:tbl>
      <w:tblPr>
        <w:tblStyle w:val="000015"/>
        <w:tblInd w:w="-60" w:type="dxa"/>
        <w:tblBorders>
          <w:top w:val="single" w:color="000000" w:sz="12"/>
          <w:left w:val="nil" w:color="auto" w:sz="0"/>
          <w:bottom w:val="single" w:color="000000" w:sz="12"/>
          <w:right w:val="nil" w:color="auto" w:sz="0"/>
          <w:insideH w:val="nil" w:color="auto" w:sz="0"/>
          <w:insideV w:val="nil" w:color="auto" w:sz="0"/>
        </w:tblBorders>
        <w:tblLayout w:type="fixed"/>
        <w:tblLook w:firstRow="1" w:lastRow="0" w:firstColumn="1" w:lastColumn="0" w:noHBand="0" w:noVBand="1"/>
      </w:tblPr>
      <w:tblGrid>
        <w:gridCol w:w="4003"/>
        <w:gridCol w:w="4352"/>
      </w:tblGrid>
      <w:tr>
        <w:trPr>
          <w:wBefore/>
          <w:trHeight/>
        </w:trPr>
        <w:tc>
          <w:tcPr>
            <w:tcW w:w="4003" w:type="dxa"/>
            <w:tcBorders>
              <w:bottom w:val="single" w:color="000000" w:sz="6"/>
              <w:tl2br w:val="nil" w:color="auto" w:sz="0"/>
              <w:tr2bl w:val="nil" w:color="auto" w:sz="0"/>
            </w:tcBorders>
          </w:tcPr>
          <w:p>
            <w:pPr>
              <w:numPr/>
              <w:pBdr>
                <w:bottom/>
              </w:pBdr>
              <w:snapToGrid w:val="1"/>
              <w:spacing w:before="0" w:after="0" w:line="240"/>
              <w:ind/>
              <w:jc w:val="left"/>
              <w:rPr>
                <w:rFonts w:ascii="Open Sans" w:hAnsi="Open Sans" w:eastAsia="黑体" w:cs="Open Sans"/>
                <w:b w:val="1"/>
                <w:i w:val="0"/>
                <w:strike w:val="0"/>
                <w:color w:val="000000"/>
                <w:spacing w:val="0"/>
                <w:sz w:val="21"/>
                <w:u w:val="none"/>
              </w:rPr>
            </w:pPr>
            <w:r>
              <w:rPr>
                <w:rFonts w:ascii="Open Sans" w:hAnsi="Open Sans" w:eastAsia="黑体" w:cs="Open Sans"/>
                <w:b w:val="1"/>
                <w:i w:val="0"/>
                <w:strike w:val="0"/>
                <w:color w:val="000000"/>
                <w:spacing w:val="0"/>
                <w:sz w:val="21"/>
                <w:u w:val="none"/>
              </w:rPr>
              <w:t>内容</w:t>
            </w:r>
          </w:p>
        </w:tc>
        <w:tc>
          <w:tcPr>
            <w:tcW w:w="4352" w:type="dxa"/>
            <w:tcBorders>
              <w:bottom w:val="single" w:color="000000" w:sz="6"/>
              <w:tl2br w:val="nil" w:color="auto" w:sz="0"/>
              <w:tr2bl w:val="nil" w:color="auto" w:sz="0"/>
            </w:tcBorders>
          </w:tcPr>
          <w:p>
            <w:pPr>
              <w:numPr/>
              <w:pBdr>
                <w:bottom/>
              </w:pBdr>
              <w:snapToGrid w:val="1"/>
              <w:spacing w:before="0" w:after="0" w:line="240"/>
              <w:ind/>
              <w:jc w:val="left"/>
              <w:rPr>
                <w:rFonts w:ascii="Open Sans" w:hAnsi="Open Sans" w:eastAsia="黑体" w:cs="Open Sans"/>
                <w:b w:val="1"/>
                <w:i w:val="0"/>
                <w:strike w:val="0"/>
                <w:color w:val="000000"/>
                <w:spacing w:val="0"/>
                <w:sz w:val="21"/>
                <w:u w:val="none"/>
              </w:rPr>
            </w:pPr>
            <w:r>
              <w:rPr>
                <w:rFonts w:ascii="Open Sans" w:hAnsi="Open Sans" w:eastAsia="黑体" w:cs="Open Sans"/>
                <w:b w:val="1"/>
                <w:i w:val="0"/>
                <w:strike w:val="0"/>
                <w:color w:val="000000"/>
                <w:spacing w:val="0"/>
                <w:sz w:val="21"/>
                <w:u w:val="none"/>
              </w:rPr>
              <w:t>本作品实际做法</w:t>
            </w:r>
          </w:p>
        </w:tc>
      </w:tr>
      <w:tr>
        <w:trPr>
          <w:wBefore/>
          <w:trHeight/>
        </w:trPr>
        <w:tc>
          <w:tcPr>
            <w:tcW w:w="4003" w:type="dxa"/>
            <w:tcBorders>
              <w:top w:val="single" w:color="000000" w:sz="6"/>
              <w:tl2br w:val="nil" w:color="auto" w:sz="0"/>
              <w:tr2bl w:val="nil" w:color="auto" w:sz="0"/>
            </w:tcBorders>
          </w:tcPr>
          <w:p>
            <w:pPr>
              <w:pStyle w:val="eti4qs"/>
              <w:snapToGrid w:val="0"/>
              <w:spacing w:before="0" w:after="0" w:line="240"/>
              <w:ind w:firstLineChars="0"/>
              <w:rPr>
                <w:b w:val="0"/>
                <w:sz w:val="21"/>
              </w:rPr>
            </w:pPr>
            <w:r>
              <w:rPr>
                <w:b w:val="0"/>
                <w:sz w:val="21"/>
              </w:rPr>
              <w:t>使用的 Qwen 模型与调用方式</w:t>
            </w:r>
          </w:p>
        </w:tc>
        <w:tc>
          <w:tcPr>
            <w:tcW w:w="4352" w:type="dxa"/>
            <w:tcBorders>
              <w:top w:val="single" w:color="000000" w:sz="6"/>
              <w:tl2br w:val="nil" w:color="auto" w:sz="0"/>
              <w:tr2bl w:val="nil" w:color="auto" w:sz="0"/>
            </w:tcBorders>
          </w:tcPr>
          <w:p>
            <w:pPr>
              <w:pStyle w:val="eti4qs"/>
              <w:snapToGrid w:val="0"/>
              <w:spacing w:before="0" w:after="0" w:line="240"/>
              <w:ind w:firstLineChars="200"/>
              <w:rPr>
                <w:b w:val="0"/>
                <w:sz w:val="21"/>
              </w:rPr>
            </w:pPr>
            <w:r>
              <w:rPr>
                <w:b w:val="0"/>
                <w:sz w:val="21"/>
              </w:rPr>
              <w:t>统一使用 Qwen3.8-Max 作为核心大语言模型，通过 API 调用；整体科研 Agent Pipeline 基于 Qoder 运行，由 Qoder 负责多阶段任务执行、工具调用、上下文传递和流程衔接。</w:t>
            </w:r>
          </w:p>
        </w:tc>
      </w:tr>
      <w:tr>
        <w:trPr>
          <w:wBefore/>
          <w:trHeight/>
        </w:trPr>
        <w:tc>
          <w:tcPr>
            <w:tcW w:w="4003" w:type="dxa"/>
            <w:tcBorders>
              <w:tl2br w:val="nil" w:color="auto" w:sz="0"/>
              <w:tr2bl w:val="nil" w:color="auto" w:sz="0"/>
            </w:tcBorders>
          </w:tcPr>
          <w:p>
            <w:pPr>
              <w:pStyle w:val="eti4qs"/>
              <w:snapToGrid w:val="0"/>
              <w:spacing w:before="0" w:after="0" w:line="240"/>
              <w:ind w:firstLineChars="0"/>
              <w:rPr>
                <w:b w:val="0"/>
                <w:sz w:val="21"/>
              </w:rPr>
            </w:pPr>
            <w:r>
              <w:rPr>
                <w:b w:val="0"/>
                <w:sz w:val="21"/>
              </w:rPr>
              <w:t>Qwen 承担的具体任务</w:t>
            </w:r>
          </w:p>
        </w:tc>
        <w:tc>
          <w:tcPr>
            <w:tcW w:w="4352" w:type="dxa"/>
            <w:tcBorders>
              <w:tl2br w:val="nil" w:color="auto" w:sz="0"/>
              <w:tr2bl w:val="nil" w:color="auto" w:sz="0"/>
            </w:tcBorders>
          </w:tcPr>
          <w:p>
            <w:pPr>
              <w:pStyle w:val="eti4qs"/>
              <w:snapToGrid w:val="0"/>
              <w:spacing w:before="0" w:after="0" w:line="240"/>
              <w:ind w:firstLineChars="200"/>
              <w:rPr>
                <w:b w:val="0"/>
                <w:sz w:val="21"/>
              </w:rPr>
            </w:pPr>
            <w:r>
              <w:rPr>
                <w:b w:val="0"/>
                <w:sz w:val="21"/>
              </w:rPr>
              <w:t>贯穿科研决策链，包括科学问题解析、SciAtlas 检索结果理解与跨学科知识综合、候选假设生成、反应机理分析、实验方案与具体实验条件生成、科研评价规范生成、Reviewer/科学评价、实验结果分析与失效归因、下一轮条件决策、实验反思及经验总结等。</w:t>
            </w:r>
          </w:p>
        </w:tc>
      </w:tr>
      <w:tr>
        <w:trPr>
          <w:wBefore/>
          <w:trHeight/>
        </w:trPr>
        <w:tc>
          <w:tcPr>
            <w:tcW w:w="4003" w:type="dxa"/>
            <w:tcBorders>
              <w:tl2br w:val="nil" w:color="auto" w:sz="0"/>
              <w:tr2bl w:val="nil" w:color="auto" w:sz="0"/>
            </w:tcBorders>
          </w:tcPr>
          <w:p>
            <w:pPr>
              <w:pStyle w:val="eti4qs"/>
              <w:snapToGrid w:val="0"/>
              <w:spacing w:before="0" w:after="0" w:line="240"/>
              <w:ind w:firstLineChars="0"/>
              <w:rPr>
                <w:b w:val="0"/>
                <w:sz w:val="21"/>
              </w:rPr>
            </w:pPr>
            <w:r>
              <w:rPr>
                <w:b w:val="0"/>
                <w:sz w:val="21"/>
              </w:rPr>
              <w:t>一次规划或调整时提供给模型的上下文</w:t>
            </w:r>
          </w:p>
        </w:tc>
        <w:tc>
          <w:tcPr>
            <w:tcW w:w="4352" w:type="dxa"/>
            <w:tcBorders>
              <w:tl2br w:val="nil" w:color="auto" w:sz="0"/>
              <w:tr2bl w:val="nil" w:color="auto" w:sz="0"/>
            </w:tcBorders>
          </w:tcPr>
          <w:p>
            <w:pPr>
              <w:pStyle w:val="eti4qs"/>
              <w:snapToGrid w:val="0"/>
              <w:spacing w:before="0" w:after="0" w:line="240"/>
              <w:ind w:firstLineChars="200"/>
              <w:rPr>
                <w:b w:val="0"/>
                <w:sz w:val="21"/>
              </w:rPr>
            </w:pPr>
            <w:r>
              <w:rPr>
                <w:b w:val="0"/>
                <w:sz w:val="21"/>
              </w:rPr>
              <w:t>根据当前阶段动态组装上下文，包括研究目标与问题描述、已有科学知识与 SciAtlas 检索结果、候选假设、实验变量及安全约束、当前与历史实验条件、产率/选择性/表征结果、设备状态与执行日志、AutoSciRub 评价条目、上一轮 Reviewer 诊断和反思结果等。</w:t>
            </w:r>
          </w:p>
        </w:tc>
      </w:tr>
      <w:tr>
        <w:trPr>
          <w:wBefore/>
          <w:trHeight/>
        </w:trPr>
        <w:tc>
          <w:tcPr>
            <w:tcW w:w="4003" w:type="dxa"/>
            <w:tcBorders>
              <w:tl2br w:val="nil" w:color="auto" w:sz="0"/>
              <w:tr2bl w:val="nil" w:color="auto" w:sz="0"/>
            </w:tcBorders>
          </w:tcPr>
          <w:p>
            <w:pPr>
              <w:pStyle w:val="eti4qs"/>
              <w:snapToGrid w:val="0"/>
              <w:spacing w:before="0" w:after="0" w:line="240"/>
              <w:ind w:firstLineChars="0"/>
              <w:rPr>
                <w:b w:val="0"/>
                <w:sz w:val="21"/>
              </w:rPr>
            </w:pPr>
            <w:r>
              <w:rPr>
                <w:b w:val="0"/>
                <w:sz w:val="21"/>
              </w:rPr>
              <w:t>结构化输出或格式约束</w:t>
            </w:r>
          </w:p>
        </w:tc>
        <w:tc>
          <w:tcPr>
            <w:tcW w:w="4352" w:type="dxa"/>
            <w:tcBorders>
              <w:tl2br w:val="nil" w:color="auto" w:sz="0"/>
              <w:tr2bl w:val="nil" w:color="auto" w:sz="0"/>
            </w:tcBorders>
          </w:tcPr>
          <w:p>
            <w:pPr>
              <w:pStyle w:val="eti4qs"/>
              <w:snapToGrid w:val="0"/>
              <w:spacing w:before="0" w:after="0" w:line="240"/>
              <w:ind w:firstLineChars="200"/>
              <w:rPr>
                <w:b w:val="0"/>
                <w:sz w:val="21"/>
              </w:rPr>
            </w:pPr>
            <w:r>
              <w:rPr>
                <w:b w:val="0"/>
                <w:sz w:val="21"/>
              </w:rPr>
              <w:t>不同阶段采用结构化对象约束模型输出，例如候选假设与依据、ExperimentProposal、具体反应条件、投料与实验步骤、评价条目、失效类型、决策动作、Reviewer 反馈、Reflection 及下一轮实验建议等，并保留候选编号、证据来源、实验轮次等字段，保证结果可解析、可追踪并可直接传递给后续 Agent。</w:t>
            </w:r>
          </w:p>
        </w:tc>
      </w:tr>
      <w:tr>
        <w:trPr>
          <w:wBefore/>
          <w:trHeight/>
        </w:trPr>
        <w:tc>
          <w:tcPr>
            <w:tcW w:w="4003" w:type="dxa"/>
            <w:tcBorders>
              <w:tl2br w:val="nil" w:color="auto" w:sz="0"/>
              <w:tr2bl w:val="nil" w:color="auto" w:sz="0"/>
            </w:tcBorders>
          </w:tcPr>
          <w:p>
            <w:pPr>
              <w:pStyle w:val="eti4qs"/>
              <w:snapToGrid w:val="0"/>
              <w:spacing w:before="0" w:after="0" w:line="240"/>
              <w:ind w:firstLineChars="0"/>
              <w:rPr>
                <w:b w:val="0"/>
                <w:sz w:val="21"/>
              </w:rPr>
            </w:pPr>
            <w:r>
              <w:rPr>
                <w:b w:val="0"/>
                <w:sz w:val="21"/>
              </w:rPr>
              <w:t>与仪器、仿真、分析代码或其他工具的协作方式</w:t>
            </w:r>
          </w:p>
        </w:tc>
        <w:tc>
          <w:tcPr>
            <w:tcW w:w="4352" w:type="dxa"/>
            <w:tcBorders>
              <w:tl2br w:val="nil" w:color="auto" w:sz="0"/>
              <w:tr2bl w:val="nil" w:color="auto" w:sz="0"/>
            </w:tcBorders>
          </w:tcPr>
          <w:p>
            <w:pPr>
              <w:pStyle w:val="eti4qs"/>
              <w:snapToGrid w:val="0"/>
              <w:spacing w:before="0" w:after="0" w:line="240"/>
              <w:ind w:firstLineChars="200"/>
              <w:rPr>
                <w:b w:val="0"/>
                <w:sz w:val="21"/>
              </w:rPr>
            </w:pPr>
            <w:r>
              <w:rPr>
                <w:b w:val="0"/>
                <w:sz w:val="21"/>
              </w:rPr>
              <w:t>Qwen3.8-Max 负责高层科研推理与决策，Qoder 负责 Agent 流程编排及工具调用；SciAtlas 提供科学知识与候选方向，SkillNet 将实验方案转换为标准化技能序列，LabVLA/仪器接口执行真实实验，实验设备返回产率、表征、设备状态和操作轨迹，再由 Qwen 完成评价诊断和下一轮实验规划，形成闭环。</w:t>
            </w:r>
          </w:p>
        </w:tc>
      </w:tr>
    </w:tbl>
    <w:p>
      <w:pPr>
        <w:pStyle w:val="3mrkcm"/>
        <w:numPr/>
        <w:pBdr/>
        <w:ind/>
        <w:rPr/>
      </w:pPr>
      <w:bookmarkStart w:id="27" w:name="_Tocafifkq"/>
      <w:r>
        <w:rPr/>
        <w:t>表2.1 Qwen模型使用方式</w:t>
      </w:r>
    </w:p>
    <w:p>
      <w:pPr>
        <w:pStyle w:val="000002"/>
        <w:keepNext w:val="0"/>
        <w:numPr/>
        <w:pBdr>
          <w:bottom/>
        </w:pBdr>
        <w:snapToGrid w:val="0"/>
        <w:ind/>
        <w:rPr/>
      </w:pPr>
      <w:bookmarkStart w:id="28" w:name="_Tocm1ite2"/>
      <w:r>
        <w:rPr>
          <w:rFonts w:hint="eastAsia"/>
        </w:rPr>
        <w:t>3</w:t>
      </w:r>
      <w:r>
        <w:rPr/>
        <w:t xml:space="preserve"> </w:t>
      </w:r>
      <w:bookmarkEnd w:id="27"/>
      <w:r>
        <w:rPr/>
        <w:t>系统总体架构与技术闭环</w:t>
      </w:r>
      <w:bookmarkEnd w:id="28"/>
    </w:p>
    <w:p>
      <w:pPr>
        <w:pStyle w:val="000003"/>
        <w:keepNext w:val="0"/>
        <w:pBdr>
          <w:bottom/>
        </w:pBdr>
        <w:ind/>
        <w:rPr>
          <w:rFonts w:hint="eastAsia"/>
        </w:rPr>
      </w:pPr>
      <w:bookmarkStart w:id="29" w:name="_Toc6s5flz"/>
      <w:r>
        <w:rPr>
          <w:rFonts w:hint="eastAsia"/>
        </w:rPr>
        <w:t>3.1 整体技术路线概括</w:t>
      </w:r>
      <w:bookmarkEnd w:id="29"/>
      <w:bookmarkStart w:id="30" w:name="_Tocicceqn"/>
    </w:p>
    <w:p>
      <w:pPr>
        <w:pStyle w:val="000004"/>
        <w:keepNext w:val="0"/>
        <w:numPr/>
        <w:pBdr>
          <w:bottom/>
        </w:pBdr>
        <w:ind/>
        <w:rPr/>
      </w:pPr>
      <w:r>
        <w:rPr>
          <w:rFonts w:hint="eastAsia"/>
        </w:rPr>
        <w:t>3</w:t>
      </w:r>
      <w:r>
        <w:rPr/>
        <w:t>.1.</w:t>
      </w:r>
      <w:r>
        <w:rPr>
          <w:rFonts w:hint="eastAsia"/>
        </w:rPr>
        <w:t>1</w:t>
      </w:r>
      <w:r>
        <w:rPr/>
        <w:t xml:space="preserve"> </w:t>
      </w:r>
      <w:r>
        <w:rPr>
          <w:rFonts w:hint="eastAsia"/>
        </w:rPr>
        <w:t>目标和</w:t>
      </w:r>
      <w:r>
        <w:rPr/>
        <w:t>技术路线</w:t>
      </w:r>
      <w:bookmarkEnd w:id="30"/>
    </w:p>
    <w:p>
      <w:pPr>
        <w:pStyle w:val="eti4qs"/>
        <w:pBdr/>
        <w:snapToGrid w:val="0"/>
        <w:spacing w:before="0" w:after="0" w:line="240"/>
        <w:ind w:firstLineChars="200"/>
        <w:rPr>
          <w:b w:val="0"/>
          <w:sz w:val="21"/>
        </w:rPr>
      </w:pPr>
      <w:r>
        <w:rPr>
          <w:b w:val="0"/>
          <w:sz w:val="21"/>
        </w:rPr>
        <w:t xml:space="preserve">本项目面向开放科学问题，构建“科学知识组织—研究方案形成—真实实验执行—结果评价诊断—科研能力进化”的总体技术路线。系统以科学问题、已有数据、实验资源及安全约束为输入，依托大规模科学知识图谱SciAtlas定位问题所处的知识脉络，识别关键研究对象、潜在机制及跨学科关联，形成具有文献依据的研究假设和候选实验方向。在此基础上，系统采用基于AutoSciRub的评价先行机制，将任务中隐含的科学目标、实验要求、评价指标、证据形式和停止条件转化为可执行的科研评价规范，并以此约束实验设计和方案选择。实验方案随后由SkillNet解析为具有明确依赖关系的实验技能序列，通过LabVLA或仪器控制接口完成真实装置上的物理执行，获得产率、选择性、产物表征、设备状态和操作轨迹等实验观测。  </w:t>
      </w:r>
    </w:p>
    <w:p>
      <w:pPr>
        <w:numPr/>
        <w:pBdr/>
        <w:snapToGrid w:val="1"/>
        <w:spacing w:line="240"/>
        <w:ind w:firstLineChars="0"/>
        <w:rPr>
          <w:i w:val="0"/>
          <w:strike w:val="0"/>
          <w:color w:val="000000"/>
          <w:u w:val="none"/>
        </w:rPr>
      </w:pPr>
      <w:r>
        <w:rPr/>
        <w:drawing>
          <wp:inline distT="0" distB="0" distL="0" distR="0">
            <wp:extent cx="5278120" cy="2896263"/>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13"/>
                    <a:srcRect/>
                    <a:stretch/>
                  </pic:blipFill>
                  <pic:spPr>
                    <a:xfrm>
                      <a:off x="0" y="0"/>
                      <a:ext cx="5278120" cy="2896263"/>
                    </a:xfrm>
                    <a:prstGeom prst="rect">
                      <a:avLst/>
                    </a:prstGeom>
                    <a:ln/>
                  </pic:spPr>
                </pic:pic>
              </a:graphicData>
            </a:graphic>
          </wp:inline>
        </w:drawing>
      </w:r>
    </w:p>
    <w:p>
      <w:pPr>
        <w:pStyle w:val="3mrkcm"/>
        <w:numPr/>
        <w:pBdr>
          <w:bottom/>
        </w:pBdr>
        <w:ind/>
        <w:rPr/>
      </w:pPr>
      <w:r>
        <w:rPr/>
        <w:t>图3.1 启真Scientist整体技术路线</w:t>
      </w:r>
    </w:p>
    <w:p>
      <w:pPr>
        <w:pStyle w:val="eti4qs"/>
        <w:snapToGrid w:val="0"/>
        <w:spacing w:before="0" w:after="0" w:line="240"/>
        <w:ind w:firstLineChars="200"/>
        <w:rPr/>
      </w:pPr>
      <w:r>
        <w:rPr>
          <w:b w:val="0"/>
          <w:sz w:val="21"/>
        </w:rPr>
        <w:t>该技术路线并非知识检索、方案生成和实验执行等功能的线性串联，而是由真实实验反馈驱动的循环系统。每轮实验结束后，评价模块依据任务特定规范对实验结果和执行过程进行逐项核验，判断当前结果是否达到预期目标，并区分反应条件设置、实验方案设计、装置状态、操作执行和证据完整性等不同类型的问题。诊断结果进一步反馈至实验规划阶段，用于调整候选空间、修正关键变量或补充验证实验，生成下一轮可执行条件。随着实验持续推进，系统逐步积累有效参数范围、失败条件、可靠技能组合及其适用边界，在单项任务内部实现实验条件和研究策略的迭代优化，并在不同任务之间沉淀可复用的科研经验和实验能力，形成从真实观测到能力增长的自进化闭环。</w:t>
      </w:r>
      <w:r>
        <w:rPr/>
        <w:t xml:space="preserve"> </w:t>
      </w:r>
    </w:p>
    <w:p>
      <w:pPr>
        <w:pStyle w:val="000004"/>
        <w:numPr/>
        <w:ind/>
        <w:rPr/>
      </w:pPr>
      <w:bookmarkStart w:id="31" w:name="_Tocytszea"/>
      <w:r>
        <w:rPr>
          <w:rFonts w:hint="eastAsia"/>
        </w:rPr>
        <w:t>3.1.</w:t>
      </w:r>
      <w:r>
        <w:rPr>
          <w:rFonts w:hint="eastAsia"/>
        </w:rPr>
        <w:t>2</w:t>
      </w:r>
      <w:r>
        <w:rPr>
          <w:rFonts w:hint="eastAsia"/>
        </w:rPr>
        <w:t xml:space="preserve"> 创新点</w:t>
      </w:r>
      <w:bookmarkEnd w:id="31"/>
    </w:p>
    <w:p>
      <w:pPr>
        <w:pStyle w:val="000001"/>
        <w:numPr/>
        <w:ind/>
        <w:rPr>
          <w:rFonts w:ascii="宋体" w:hAnsi="宋体" w:eastAsia="宋体" w:cs="宋体"/>
          <w:b w:val="1"/>
          <w:sz w:val="24"/>
        </w:rPr>
      </w:pPr>
      <w:r>
        <w:rPr>
          <w:rFonts w:ascii="宋体" w:hAnsi="宋体" w:eastAsia="宋体" w:cs="宋体"/>
          <w:b w:val="1"/>
          <w:sz w:val="24"/>
        </w:rPr>
        <w:t xml:space="preserve">（1）本项目提出启真全学科知识图谱 SciAtlas </w:t>
      </w:r>
    </w:p>
    <w:p>
      <w:pPr>
        <w:pStyle w:val="eti4qs"/>
        <w:snapToGrid w:val="0"/>
        <w:spacing w:before="0" w:after="0" w:line="240"/>
        <w:ind w:firstLineChars="200"/>
        <w:rPr>
          <w:b w:val="0"/>
          <w:sz w:val="21"/>
        </w:rPr>
      </w:pPr>
      <w:r>
        <w:rPr>
          <w:b w:val="0"/>
          <w:sz w:val="21"/>
        </w:rPr>
        <w:t>为了支撑科学假设生成与实验方案设计的方法，我们构建了构建覆盖26个学科、4300万篇论文、1.57亿实体和30亿关系的科学知识图谱，并设计了基于图重排的神经符号检索策略。目前国内外，已有关于以引文网络和概念关联组织科学知识体系并在概念网络上生成研究想法；以学术知识库为科研智能体提供文献证据等的中文文献报道。另见有关由多类智能体协同产生并筛选科学假设；以关键词检索和向量语义检索为科研智能体组装文献上下文等的外文文献报道。未见有关以亿级实体、十亿级关系的跨学科科学知识图谱作为确定性拓扑推理底座支撑实验方案设计的中外文公开文献报道。</w:t>
      </w:r>
    </w:p>
    <w:p>
      <w:pPr>
        <w:pStyle w:val="000001"/>
        <w:numPr/>
        <w:pBdr>
          <w:bottom/>
        </w:pBdr>
        <w:ind/>
        <w:rPr>
          <w:rFonts w:ascii="宋体" w:hAnsi="宋体" w:eastAsia="宋体" w:cs="宋体"/>
          <w:b w:val="1"/>
          <w:sz w:val="24"/>
        </w:rPr>
      </w:pPr>
      <w:r>
        <w:rPr>
          <w:rFonts w:ascii="宋体" w:hAnsi="宋体" w:eastAsia="宋体" w:cs="宋体"/>
          <w:b w:val="1"/>
          <w:sz w:val="24"/>
        </w:rPr>
        <w:t>（2）本项目设计启真智能真机实验体系</w:t>
      </w:r>
    </w:p>
    <w:p>
      <w:pPr>
        <w:pStyle w:val="eti4qs"/>
        <w:snapToGrid w:val="0"/>
        <w:spacing w:before="0" w:after="0" w:line="240"/>
        <w:ind w:firstLineChars="200"/>
        <w:rPr>
          <w:b w:val="0"/>
          <w:sz w:val="21"/>
        </w:rPr>
      </w:pPr>
      <w:r>
        <w:rPr>
          <w:b w:val="0"/>
          <w:sz w:val="21"/>
        </w:rPr>
        <w:t>提出基于大模型操纵的机械臂真机实验平台，将实验条件转换为设备协议在真机上执行，将通过质量控制的测量结果回流后由系统自行诊断失效原因并修订下一轮实验条件，轮次之间不需要研究者介入，全过程留存候选、证据、决策理由、设备任务与检测结果的完整链路。国内外已有关于将科研智能体接入真实科学设施形成计算与实验验证循环；由自动化实验平台执行既定实验流程并回收测量数据等的中文文献报道。另见有关在自动化合成平台上完成从实验规划到观测解释的自主闭环；在同步辐射装置上由智能体自主组织并解释X射线实验等的外文文献报道，上述工作多在单一装置上完成闭环，跨轮次的方案修订依据和决策过程未被完整记录。未见有关由系统依据真机测量结果自主完成实验条件的逐轮诊断与修订、轮次间不依赖人工干预且全链路留痕的中外文公开文献</w:t>
      </w:r>
      <w:r>
        <w:rPr>
          <w:rFonts w:hint="eastAsia"/>
          <w:b w:val="0"/>
          <w:sz w:val="21"/>
        </w:rPr>
        <w:t>报</w:t>
      </w:r>
      <w:r>
        <w:rPr>
          <w:b w:val="0"/>
          <w:sz w:val="21"/>
        </w:rPr>
        <w:t>道。</w:t>
      </w:r>
    </w:p>
    <w:p>
      <w:pPr>
        <w:pStyle w:val="000001"/>
        <w:numPr/>
        <w:pBdr>
          <w:bottom/>
        </w:pBdr>
        <w:ind/>
        <w:rPr>
          <w:rFonts w:ascii="宋体" w:hAnsi="宋体" w:eastAsia="宋体" w:cs="宋体"/>
          <w:b w:val="1"/>
          <w:sz w:val="24"/>
        </w:rPr>
      </w:pPr>
      <w:r>
        <w:rPr>
          <w:rFonts w:ascii="宋体" w:hAnsi="宋体" w:eastAsia="宋体" w:cs="宋体"/>
          <w:b w:val="1"/>
          <w:sz w:val="24"/>
        </w:rPr>
        <w:t>（3）本项目设计科学评价驱动的真机实验自进化</w:t>
      </w:r>
    </w:p>
    <w:p>
      <w:pPr>
        <w:pStyle w:val="eti4qs"/>
        <w:snapToGrid w:val="0"/>
        <w:spacing w:before="0" w:after="0" w:line="240"/>
        <w:ind w:firstLineChars="200"/>
        <w:rPr>
          <w:b w:val="0"/>
          <w:sz w:val="21"/>
        </w:rPr>
      </w:pPr>
      <w:r>
        <w:rPr>
          <w:b w:val="0"/>
          <w:sz w:val="21"/>
        </w:rPr>
        <w:t>本项目提出科学评价驱动的真机实验自进化机制。针对真实实验结果难以直接转化为有效优化信号的问题，系统自动构建任务特定的科研评价规范，然后将科学目标、评价指标、对照关系、表征证据、设备能力与安全边界显式化；进一步融合产率、选择性、表征结果、设备状态、机械臂轨迹和异常日志等多源反馈，区分问题来自科学假设、实验条件、物理执行还是证据不足，并据此定向修正下一轮实验方案。多轮实验形成的有效参数范围、失败条件、可靠技能组合及适用边界进一步沉淀为可复用科研经验，使系统由单次实验优化走向实验策略与科研能力的持续进化。目前国内外已有通过结果奖励、执行轨迹反思或长期记忆推动智能体自进化的相关研究，但多数仍停留在数字环境或事后整体评价阶段。未见有关以任务特定科学评价规范为控制依据，融合真实装置执行过程与实验结果，对实验失效进行多层归因，并由物理证据持续驱动实验条件、研究策略和科研能力协同进化的中外文公开文献报道。</w:t>
      </w:r>
    </w:p>
    <w:p>
      <w:pPr>
        <w:pStyle w:val="eti4qs"/>
        <w:pBdr/>
        <w:snapToGrid w:val="0"/>
        <w:spacing w:before="0" w:after="0" w:line="240"/>
        <w:ind w:firstLineChars="200"/>
        <w:rPr>
          <w:b w:val="0"/>
          <w:sz w:val="21"/>
        </w:rPr>
      </w:pPr>
      <w:r>
        <w:rPr>
          <w:b w:val="0"/>
          <w:sz w:val="21"/>
        </w:rPr>
        <w:t>本项目围绕“知识启发—真机验证—反馈进化”构建启真Scientist的三层核心创新体系：以SciAtlas拓展科学发现的知识边界，以SkillNet+LabVLA打通大模型决策与物理实验，使AI能够自主驱动机械臂开展真实化学实验，以AutoSciRub将实验事实转化为科学评价与进化信号，形成“知识—决策—实验—反馈”贯通的自主科研闭环。 项目推动AI科学家由“会检索、会生成”迈向“能发现、能实验、能判断、能进化”，为AI赋能化学提供新的技术路径。</w:t>
      </w:r>
    </w:p>
    <w:p>
      <w:pPr>
        <w:pStyle w:val="000001"/>
        <w:numPr/>
        <w:pBdr/>
        <w:ind/>
        <w:rPr>
          <w:rFonts w:ascii="宋体" w:hAnsi="宋体" w:eastAsia="宋体" w:cs="宋体"/>
          <w:b w:val="1"/>
          <w:sz w:val="24"/>
        </w:rPr>
      </w:pPr>
      <w:r>
        <w:rPr>
          <w:rFonts w:ascii="宋体" w:hAnsi="宋体" w:eastAsia="宋体" w:cs="宋体"/>
          <w:b w:val="1"/>
          <w:sz w:val="24"/>
        </w:rPr>
        <w:t>（</w:t>
      </w:r>
      <w:r>
        <w:rPr>
          <w:rFonts w:hint="eastAsia" w:ascii="宋体" w:hAnsi="宋体" w:eastAsia="宋体" w:cs="宋体"/>
          <w:b w:val="1"/>
          <w:sz w:val="24"/>
        </w:rPr>
        <w:t>4</w:t>
      </w:r>
      <w:r>
        <w:rPr>
          <w:rFonts w:ascii="宋体" w:hAnsi="宋体" w:eastAsia="宋体" w:cs="宋体"/>
          <w:b w:val="1"/>
          <w:sz w:val="24"/>
        </w:rPr>
        <w:t>）</w:t>
      </w:r>
      <w:bookmarkStart w:id="32" w:name="_Tocxgilj8"/>
      <w:r>
        <w:rPr>
          <w:rFonts w:ascii="宋体" w:hAnsi="宋体" w:eastAsia="宋体" w:cs="宋体"/>
          <w:b w:val="1"/>
          <w:sz w:val="24"/>
        </w:rPr>
        <w:t>本项目提出基于机理可解释性的化学安全风险识别与安全部署保障方法</w:t>
      </w:r>
    </w:p>
    <w:p>
      <w:pPr>
        <w:pBdr>
          <w:bottom/>
        </w:pBdr>
        <w:snapToGrid w:val="0"/>
        <w:spacing w:before="0" w:after="0" w:line="240"/>
        <w:ind w:firstLineChars="200"/>
        <w:rPr>
          <w:rFonts w:ascii="宋体" w:hAnsi="宋体" w:eastAsia="宋体" w:cs="宋体"/>
          <w:sz w:val="21"/>
        </w:rPr>
      </w:pPr>
      <w:r>
        <w:rPr>
          <w:rFonts w:ascii="宋体" w:hAnsi="宋体" w:eastAsia="宋体" w:cs="宋体"/>
          <w:i w:val="0"/>
          <w:strike w:val="0"/>
          <w:color w:val="000000"/>
          <w:sz w:val="21"/>
          <w:u w:val="none"/>
        </w:rPr>
        <w:t>针对训练数据内容审查和部署后行为测试难以发现隐蔽安全风险的问题，本项目从“数据—参数—行为”作用链路出发，建立面向化学智能系统的部署前安全检测与机理解释方法。一方面，通过受控安全评测主动识别表面合规训练数据可能诱发的跨模态风险行为，使安全问题在模型接入真实实验装置之前暴露；另一方面，利用机理可解释分析探索风险特征在模型内部的形成、传递与行为表达过程，据此反向指导训练数据构建、模型干预和部署边界设定。该方法推动化学模型安全治理由“部署后发现问题”转向“部署前预测风险”，由“黑箱行为评测”转向“内部机理定位”，为AI科学家进入真实实验环境提供安全保障。</w:t>
      </w:r>
    </w:p>
    <w:p>
      <w:pPr>
        <w:pStyle w:val="8wu08g"/>
        <w:rPr/>
      </w:pPr>
      <w:bookmarkStart w:id="33" w:name="_Toc01769n"/>
      <w:r>
        <w:rPr>
          <w:rFonts w:hint="eastAsia"/>
        </w:rPr>
        <w:t>3</w:t>
      </w:r>
      <w:r>
        <w:rPr/>
        <w:t xml:space="preserve">.2 启真全学科知识图谱SciAtlas </w:t>
      </w:r>
      <w:bookmarkEnd w:id="32"/>
      <w:bookmarkEnd w:id="33"/>
    </w:p>
    <w:p>
      <w:pPr>
        <w:pStyle w:val="000004"/>
        <w:rPr/>
      </w:pPr>
      <w:bookmarkStart w:id="34" w:name="_Tocrkhnv6"/>
      <w:bookmarkStart w:id="35" w:name="_Tocwhbduk"/>
      <w:r>
        <w:rPr>
          <w:rFonts w:hint="eastAsia"/>
        </w:rPr>
        <w:t>3</w:t>
      </w:r>
      <w:r>
        <w:rPr/>
        <w:t>.2.1 全学科知识图谱构建</w:t>
      </w:r>
      <w:bookmarkEnd w:id="34"/>
      <w:bookmarkEnd w:id="35"/>
    </w:p>
    <w:p>
      <w:pPr>
        <w:pStyle w:val="eti4qs"/>
        <w:snapToGrid w:val="0"/>
        <w:spacing w:before="0" w:after="0" w:line="240"/>
        <w:ind w:firstLineChars="200"/>
        <w:rPr>
          <w:b w:val="0"/>
          <w:sz w:val="21"/>
        </w:rPr>
      </w:pPr>
      <w:r>
        <w:rPr>
          <w:b w:val="0"/>
          <w:sz w:val="21"/>
        </w:rPr>
        <w:t>科学突破往往来自不同知识体系之间原本不显然的联系，而这类联系分散于海量文献之中，其发现长期依赖研究者稀缺的学术视野与直觉。现有的文献检索、语义检索与大语言模型等技术使机器虽能快速解析论文，但科学知识以彼此分散的文献形态存在，论文背后的概念联系、知识传承与学科结构从未被显式表达，机器难以在全局知识空间中定位、关联与推演。</w:t>
      </w:r>
    </w:p>
    <w:p>
      <w:pPr>
        <w:pStyle w:val="eti4qs"/>
        <w:snapToGrid w:val="0"/>
        <w:spacing w:before="0" w:after="0" w:line="240"/>
        <w:ind w:firstLineChars="200"/>
        <w:rPr>
          <w:b w:val="0"/>
          <w:sz w:val="21"/>
        </w:rPr>
      </w:pPr>
      <w:r>
        <w:rPr>
          <w:b w:val="0"/>
          <w:sz w:val="21"/>
        </w:rPr>
        <w:t>围绕这一问题，本项目构建大规模科学知识图谱SciAtlas，将分散的科学文献重构为具有内在联系、层次结构和演化脉络的科学知识体系。SciAtlas覆盖26个主要学科，以超过4300万篇科学论文为基础，在统一体系中组织论文、科学概念、研究主题、研究人员、科研机构及其引用、合作和知识关联，形成9类科学实体和12类科学关系，总计约1.57亿个科学实体与30亿条知识关系，同时建立从具体研究主题到子领域、研究领域直至学科的多层知识结构。SciAtlas的核心并非论文的规模化汇集，而是将论文背后原本分散的概念、知识脉络、研究群体和学科结构重新连接，使科学知识以大规模关系网络进入机器计算空间。</w:t>
      </w:r>
    </w:p>
    <w:p>
      <w:pPr>
        <w:numPr/>
        <w:pBdr/>
        <w:snapToGrid w:val="1"/>
        <w:spacing w:line="240"/>
        <w:ind/>
        <w:rPr>
          <w:i w:val="0"/>
          <w:strike w:val="0"/>
          <w:color w:val="000000"/>
          <w:u w:val="none"/>
        </w:rPr>
      </w:pPr>
      <w:r>
        <w:rPr/>
        <w:drawing>
          <wp:inline distT="0" distB="0" distL="0" distR="0">
            <wp:extent cx="5068570" cy="2176853"/>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14"/>
                    <a:srcRect/>
                    <a:stretch/>
                  </pic:blipFill>
                  <pic:spPr>
                    <a:xfrm flipH="0" flipV="0">
                      <a:off x="0" y="0"/>
                      <a:ext cx="5068570" cy="2176853"/>
                    </a:xfrm>
                    <a:prstGeom prst="rect">
                      <a:avLst/>
                    </a:prstGeom>
                    <a:ln/>
                  </pic:spPr>
                </pic:pic>
              </a:graphicData>
            </a:graphic>
          </wp:inline>
        </w:drawing>
      </w:r>
    </w:p>
    <w:p>
      <w:pPr>
        <w:pStyle w:val="3mrkcm"/>
        <w:numPr/>
        <w:pBdr/>
        <w:ind/>
        <w:rPr/>
      </w:pPr>
      <w:r>
        <w:rPr/>
        <w:t>图3.2 全学科知识图谱SciAtlas</w:t>
      </w:r>
    </w:p>
    <w:p>
      <w:pPr>
        <w:pStyle w:val="eti4qs"/>
        <w:snapToGrid w:val="0"/>
        <w:spacing w:before="0" w:after="0" w:line="240"/>
        <w:ind w:firstLineChars="200"/>
        <w:rPr>
          <w:b w:val="0"/>
          <w:sz w:val="21"/>
        </w:rPr>
      </w:pPr>
      <w:r>
        <w:rPr>
          <w:b w:val="0"/>
          <w:sz w:val="21"/>
        </w:rPr>
        <w:t>SciAtlas的建设是一项涉及知识结构与工程系统的双重重建。数千万篇科学文献横跨不同学科，各自拥有不同的术语体系、知识粒度和研究传统。将其组织为统一科学知识体系，需要完成大规模异构科研数据治理、科学实体识别与关系构建、学科体系组织以及跨学科知识关联；当知识规模达到亿级实体和十亿级关系后，还必须解决超大规模知识网络的存储、索引、关联计算与实时检索问题。这一过程具有显著的基础设施建设属性。</w:t>
      </w:r>
    </w:p>
    <w:p>
      <w:pPr>
        <w:pStyle w:val="000004"/>
        <w:numPr/>
        <w:pBdr>
          <w:bottom/>
        </w:pBdr>
        <w:ind/>
        <w:rPr>
          <w:rFonts w:hint="eastAsia"/>
          <w:i w:val="0"/>
          <w:strike w:val="0"/>
          <w:color w:val="000000"/>
          <w:u w:val="none"/>
        </w:rPr>
      </w:pPr>
      <w:bookmarkStart w:id="36" w:name="_Tockpll4r"/>
      <w:bookmarkStart w:id="37" w:name="_Tocndie41"/>
      <w:r>
        <w:rPr>
          <w:rFonts w:hint="eastAsia"/>
        </w:rPr>
        <w:t>3</w:t>
      </w:r>
      <w:r>
        <w:rPr/>
        <w:t>.2.2 知识图谱检索算法</w:t>
      </w:r>
      <w:bookmarkEnd w:id="36"/>
      <w:bookmarkEnd w:id="37"/>
    </w:p>
    <w:p>
      <w:pPr>
        <w:pStyle w:val="eti4qs"/>
        <w:snapToGrid w:val="0"/>
        <w:spacing w:before="0" w:after="0" w:line="240"/>
        <w:ind w:firstLineChars="200"/>
        <w:rPr>
          <w:b w:val="0"/>
          <w:sz w:val="21"/>
        </w:rPr>
      </w:pPr>
      <w:r>
        <w:rPr>
          <w:b w:val="0"/>
          <w:sz w:val="21"/>
        </w:rPr>
        <w:t>面向具体科学问题，SciAtlas将语义理解与知识图谱的拓扑关系相结合，在保证科学相关性的前提下，沿知识关系逐步离开当前问题的局部邻域，寻找语义距离较远、但在科学机制、研究方法或问题结构上具有潜在关联的研究，并通过网络拓扑的稀疏与断裂，识别出尚未被连接、也无从被检索的知识空白。面对一个具体的化学问题，系统不再止步于检索表述最相近的文献，而是先识别其核心研究对象、关键现象与潜在机制，确定它在图谱中所处的知识位置，再向更广阔的知识空间展开探索，把材料科学中的结构规律、物理学中的基础机制、生命科学中的组织原理重新带回当前问题，将原本高度依赖专家直觉的假说形成，转化为可计算的知识图谱拓扑推演。</w:t>
      </w:r>
    </w:p>
    <w:p>
      <w:pPr>
        <w:pStyle w:val="000001"/>
        <w:numPr/>
        <w:pBdr/>
        <w:ind/>
        <w:jc w:val="center"/>
        <w:rPr/>
      </w:pPr>
      <w:r>
        <w:rPr/>
        <w:drawing>
          <wp:inline distT="0" distB="0" distL="0" distR="0">
            <wp:extent cx="4144645" cy="2684600"/>
            <wp:effectExtent l="0" t="0" r="0" b="0"/>
            <wp:docPr id="14" name="picture" descr="descript"/>
            <wp:cNvGraphicFramePr/>
            <a:graphic>
              <a:graphicData uri="http://schemas.openxmlformats.org/drawingml/2006/picture">
                <pic:pic>
                  <pic:nvPicPr>
                    <pic:cNvPr id="15" name="picture" descr="descript"/>
                    <pic:cNvPicPr/>
                  </pic:nvPicPr>
                  <pic:blipFill rotWithShape="1">
                    <a:blip r:embed="rId15"/>
                    <a:stretch/>
                  </pic:blipFill>
                  <pic:spPr>
                    <a:xfrm flipH="0" flipV="0">
                      <a:off x="0" y="0"/>
                      <a:ext cx="4144645" cy="2684600"/>
                    </a:xfrm>
                    <a:prstGeom prst="rect">
                      <a:avLst/>
                    </a:prstGeom>
                  </pic:spPr>
                </pic:pic>
              </a:graphicData>
            </a:graphic>
          </wp:inline>
        </w:drawing>
      </w:r>
    </w:p>
    <w:p>
      <w:pPr>
        <w:pStyle w:val="3mrkcm"/>
        <w:numPr/>
        <w:pBdr/>
        <w:ind/>
        <w:rPr/>
      </w:pPr>
      <w:r>
        <w:rPr/>
        <w:t>图3.3 全学科知识图谱SciAtlas的关系结构</w:t>
      </w:r>
    </w:p>
    <w:p>
      <w:pPr>
        <w:pStyle w:val="000004"/>
        <w:numPr/>
        <w:pBdr>
          <w:bottom/>
        </w:pBdr>
        <w:ind/>
        <w:rPr/>
      </w:pPr>
      <w:bookmarkStart w:id="38" w:name="_Toc5aswik"/>
      <w:bookmarkStart w:id="39" w:name="_Tocb5wn8o"/>
      <w:r>
        <w:rPr>
          <w:rFonts w:hint="eastAsia"/>
        </w:rPr>
        <w:t>3</w:t>
      </w:r>
      <w:r>
        <w:rPr/>
        <w:t>.2.3 交叉学科知识库启发化学猜想</w:t>
      </w:r>
      <w:bookmarkEnd w:id="38"/>
      <w:bookmarkEnd w:id="39"/>
    </w:p>
    <w:p>
      <w:pPr>
        <w:pStyle w:val="eti4qs"/>
        <w:snapToGrid w:val="0"/>
        <w:spacing w:before="0" w:after="0" w:line="240"/>
        <w:ind w:firstLineChars="200"/>
        <w:rPr>
          <w:b w:val="0"/>
          <w:sz w:val="21"/>
        </w:rPr>
      </w:pPr>
      <w:r>
        <w:rPr>
          <w:b w:val="0"/>
          <w:sz w:val="21"/>
        </w:rPr>
        <w:t>在本项目的应用场景中，SciAtlas将高度依赖专家直觉的认知过程转化为可计算的知识图谱拓扑推演。以有氧氧化反应催化剂设计任务为例，系统在十亿级关系网络中完成了以下步骤：</w:t>
      </w:r>
    </w:p>
    <w:p>
      <w:pPr>
        <w:pStyle w:val="eti4qs"/>
        <w:snapToGrid w:val="0"/>
        <w:spacing w:before="0" w:after="0" w:line="240"/>
        <w:ind w:firstLineChars="200"/>
        <w:rPr>
          <w:b w:val="0"/>
          <w:sz w:val="21"/>
        </w:rPr>
      </w:pPr>
      <w:r>
        <w:rPr>
          <w:b w:val="0"/>
          <w:sz w:val="21"/>
        </w:rPr>
        <w:t>识别拓扑空白：抽取局部“引用-演化图谱”，定位“均相Cu/氮氧自由基机制簇”与“多相体系鲁棒性研究”两个密集知识簇。通过计算网络拓扑结构，发现两者间存在显著的结构断裂，从而将传统语义检索难以察觉的“盲区”转化为明确的图谱计算特征。</w:t>
      </w:r>
    </w:p>
    <w:p>
      <w:pPr>
        <w:pStyle w:val="eti4qs"/>
        <w:snapToGrid w:val="0"/>
        <w:spacing w:before="0" w:after="0" w:line="240"/>
        <w:ind w:firstLineChars="200"/>
        <w:rPr>
          <w:b w:val="0"/>
          <w:sz w:val="21"/>
        </w:rPr>
      </w:pPr>
      <w:r>
        <w:rPr>
          <w:b w:val="0"/>
          <w:sz w:val="21"/>
        </w:rPr>
        <w:t>跨域灵感检索：为填补该空白，系统沿知识网络呈辐射状构建跨学科关联。在同领域提取均相催化剂的双位点协同机制；跨领域提取电催化领域的“鲁棒性多相催化剂设计”和“过电位逻辑”；并进一步汲取生命科学领域生物酶激活O₂的空间构型原理，在毫秒级完成跨学科知识整合。</w:t>
      </w:r>
    </w:p>
    <w:p>
      <w:pPr>
        <w:pStyle w:val="eti4qs"/>
        <w:pBdr>
          <w:bottom/>
        </w:pBdr>
        <w:snapToGrid w:val="0"/>
        <w:spacing w:before="0" w:after="0" w:line="240"/>
        <w:ind w:firstLineChars="200"/>
        <w:jc w:val="left"/>
        <w:rPr>
          <w:rFonts w:hint="eastAsia" w:ascii="Google Sans Text" w:hAnsi="Google Sans Text" w:eastAsia="Google Sans Text" w:cs="Google Sans Text"/>
          <w:b w:val="0"/>
          <w:i w:val="0"/>
          <w:strike w:val="0"/>
          <w:color w:val="000000"/>
          <w:sz w:val="30"/>
          <w:u w:val="none"/>
        </w:rPr>
      </w:pPr>
      <w:r>
        <w:rPr>
          <w:b w:val="0"/>
          <w:sz w:val="21"/>
        </w:rPr>
        <w:t>生成结构化假说：借助图谱中的因果与实体关系，将跨域知识凝练为具有单因素控制特征的实验假说，即距离可控的Cu-Nitroxyl双位点催化剂。该假说明确了核心反应式与验证底物，固定Cu位点与载体，仅改变氨基烷基连接臂的长度（C2/C4/C6），并自动</w:t>
      </w:r>
      <w:r>
        <w:rPr>
          <w:rFonts w:hint="eastAsia"/>
          <w:b w:val="0"/>
          <w:sz w:val="21"/>
        </w:rPr>
        <w:t>化制</w:t>
      </w:r>
      <w:r>
        <w:rPr>
          <w:b w:val="0"/>
          <w:sz w:val="21"/>
        </w:rPr>
        <w:t>出五组平行对照序列与多维验证标</w:t>
      </w:r>
      <w:r>
        <w:rPr>
          <w:rFonts w:hint="eastAsia"/>
          <w:b w:val="0"/>
          <w:sz w:val="21"/>
        </w:rPr>
        <w:t>准。</w:t>
      </w:r>
      <w:r>
        <w:rPr/>
        <w:drawing>
          <wp:inline distT="0" distB="0" distL="0" distR="0">
            <wp:extent cx="4973320" cy="2749385"/>
            <wp:effectExtent l="0" t="0" r="0" b="0"/>
            <wp:docPr id="17" name="picture" descr="descript"/>
            <wp:cNvGraphicFramePr/>
            <a:graphic>
              <a:graphicData uri="http://schemas.openxmlformats.org/drawingml/2006/picture">
                <pic:pic>
                  <pic:nvPicPr>
                    <pic:cNvPr id="18" name="picture" descr="descript"/>
                    <pic:cNvPicPr/>
                  </pic:nvPicPr>
                  <pic:blipFill rotWithShape="1">
                    <a:blip r:embed="rId16"/>
                    <a:srcRect/>
                    <a:stretch/>
                  </pic:blipFill>
                  <pic:spPr>
                    <a:xfrm flipH="0" flipV="0">
                      <a:off x="0" y="0"/>
                      <a:ext cx="4973320" cy="2749385"/>
                    </a:xfrm>
                    <a:prstGeom prst="rect">
                      <a:avLst/>
                    </a:prstGeom>
                    <a:ln/>
                  </pic:spPr>
                </pic:pic>
              </a:graphicData>
            </a:graphic>
          </wp:inline>
        </w:drawing>
      </w:r>
    </w:p>
    <w:p>
      <w:pPr>
        <w:pStyle w:val="3mrkcm"/>
        <w:numPr/>
        <w:pBdr/>
        <w:ind/>
        <w:rPr/>
      </w:pPr>
      <w:r>
        <w:rPr/>
        <w:t>图3.4 SciAtlas启发化学猜想的工作流程</w:t>
      </w:r>
    </w:p>
    <w:p>
      <w:pPr>
        <w:pStyle w:val="000004"/>
        <w:pBdr/>
        <w:ind/>
        <w:rPr>
          <w:rFonts w:hint="eastAsia"/>
        </w:rPr>
      </w:pPr>
      <w:bookmarkStart w:id="40" w:name="_Tocnkn0vn"/>
      <w:bookmarkStart w:id="41" w:name="_Toczb2rb9"/>
      <w:r>
        <w:rPr>
          <w:rFonts w:hint="eastAsia"/>
        </w:rPr>
        <w:t>3</w:t>
      </w:r>
      <w:r>
        <w:rPr/>
        <w:t>.2.4 化学假设闭环生成与迭代</w:t>
      </w:r>
      <w:r>
        <w:rPr>
          <w:rFonts w:hint="eastAsia"/>
        </w:rPr>
        <w:t>过程</w:t>
      </w:r>
      <w:bookmarkEnd w:id="40"/>
    </w:p>
    <w:p>
      <w:pPr>
        <w:pStyle w:val="eti4qs"/>
        <w:snapToGrid w:val="0"/>
        <w:spacing w:before="0" w:after="0" w:line="240"/>
        <w:ind w:firstLineChars="200"/>
        <w:rPr>
          <w:b w:val="0"/>
          <w:sz w:val="21"/>
        </w:rPr>
      </w:pPr>
      <w:r>
        <w:rPr>
          <w:b w:val="0"/>
          <w:sz w:val="21"/>
        </w:rPr>
        <w:t>启真Scientist采用“问题解析—证据组织—候选生成—评价修订—计划输出”的分层架构，各模块均产生可追溯、可复核的中间结果。系统以轮次状态统一记录研究问题、检索结果、证据图、候选假设、评价分数和失败原因，并将上一轮评价结果写入下一轮输入，使后续生成能够针对已有不足持续修订，而非每轮重新开始。</w:t>
      </w:r>
    </w:p>
    <w:p>
      <w:pPr>
        <w:pStyle w:val="eti4qs"/>
        <w:snapToGrid w:val="0"/>
        <w:spacing w:before="0" w:after="0" w:line="240"/>
        <w:ind w:firstLineChars="200"/>
        <w:rPr>
          <w:b w:val="0"/>
          <w:sz w:val="21"/>
        </w:rPr>
      </w:pPr>
      <w:r>
        <w:rPr>
          <w:b w:val="0"/>
          <w:sz w:val="21"/>
        </w:rPr>
        <w:t>（1）问题解析。 将用户提出的自然语言问题规范为明确的研究对象、研究目标、约束条件和检索关键词。程序首先检查研究对象、目标变量和约束字段的完整性，LLM进一步判断问题边界是否清晰、核心概念是否存在歧义以及研究目标是否具备可检验性。对于范围过宽的问题，系统进一步拆分为若干可操作的子问题；若存在关键变量、评价指标或约束条件缺失，则结合已有科学知识补充定义，最终形成结构化研究问题及关键词集合，作为后续文献检索、证据组织和假设生成的统一输入。</w:t>
      </w:r>
    </w:p>
    <w:p>
      <w:pPr>
        <w:pStyle w:val="eti4qs"/>
        <w:snapToGrid w:val="0"/>
        <w:spacing w:before="0" w:after="0" w:line="240"/>
        <w:ind w:firstLineChars="200"/>
        <w:rPr>
          <w:b w:val="0"/>
          <w:sz w:val="21"/>
        </w:rPr>
      </w:pPr>
      <w:r>
        <w:rPr>
          <w:b w:val="0"/>
          <w:sz w:val="21"/>
        </w:rPr>
        <w:t>（2）证据组织。 基于结构化研究问题，利用SciAtlas检索相关论文、参考文献及被引关系，并沿论文之间的引用和概念关联进一步扩展，构建由论文、科学概念及其关联关系组成的证据图，同时生成研究趋势与已有结论摘要。LLM从主题相关性、证据一致性、来源可追溯性以及对当前问题的支撑程度等方面评价检索结果，保留关键种子论文、图节点、关系边及对应证据摘要。在此基础上，系统进一步识别已有研究中结论一致、存在争议以及尚未充分覆盖的区域；若当前证据不足以支撑假设生成，则扩大关键词范围或关联半径，进入下一轮证据补充。</w:t>
      </w:r>
    </w:p>
    <w:p>
      <w:pPr>
        <w:pStyle w:val="eti4qs"/>
        <w:snapToGrid w:val="0"/>
        <w:spacing w:before="0" w:after="0" w:line="240"/>
        <w:ind w:firstLineChars="200"/>
        <w:rPr>
          <w:b w:val="0"/>
          <w:sz w:val="21"/>
        </w:rPr>
      </w:pPr>
      <w:r>
        <w:rPr>
          <w:b w:val="0"/>
          <w:sz w:val="21"/>
        </w:rPr>
        <w:t>（3）候选假设生成。 基于证据图中的已有研究、跨论文关联关系以及识别出的潜在知识缺口，生成多个具有不同研究路径的候选科学假设，并为每个假设同步给出机制解释、关键依据、可检验预测和初步验证思路。LLM进一步比较不同假设之间的差异度、科学合理性、可证伪性及其与已有证据的对应关系，避免仅对已有结论进行简单改写。对于内容高度重复、机制链条不完整、缺乏明确预测或证据支撑不足的候选假设，系统记录具体失败原因，并重新组合已有证据和知识缺口，形成新的候选方向进入下一轮生成。</w:t>
      </w:r>
    </w:p>
    <w:p>
      <w:pPr>
        <w:pStyle w:val="eti4qs"/>
        <w:snapToGrid w:val="0"/>
        <w:spacing w:before="0" w:after="0" w:line="240"/>
        <w:ind w:firstLineChars="200"/>
        <w:rPr>
          <w:b w:val="0"/>
          <w:sz w:val="21"/>
        </w:rPr>
      </w:pPr>
      <w:r>
        <w:rPr>
          <w:b w:val="0"/>
          <w:sz w:val="21"/>
        </w:rPr>
        <w:t>（4）研究计划设计。 围绕筛选后的候选假设，将概念层面的科学预测进一步转化为可执行的研究方案，明确所需数据、实验条件、关键变量、具体步骤、分析方法以及不同实验结果分别支持或否定何种判断。LLM评价器重点检查变量范围是否明确、样本设置是否合理、是否设置必要的基线与对照实验、评价指标是否能够验证核心假设，以及停止条件和回退条件是否完整。对于评价未通过的计划，系统根据反馈进一步收紧实验参数、补充关键对照或调整分析方法；若发现实验设计缺乏必要的文献依据，则回退至证据组织环节补充检索，形成可持续修订的版本化研究计划。</w:t>
      </w:r>
    </w:p>
    <w:p>
      <w:pPr>
        <w:pStyle w:val="eti4qs"/>
        <w:pBdr/>
        <w:snapToGrid w:val="0"/>
        <w:spacing w:before="0" w:after="0" w:line="240"/>
        <w:ind w:firstLineChars="200"/>
        <w:rPr>
          <w:b w:val="0"/>
          <w:sz w:val="21"/>
        </w:rPr>
      </w:pPr>
      <w:r>
        <w:rPr>
          <w:b w:val="0"/>
          <w:sz w:val="21"/>
        </w:rPr>
        <w:t>（5）综合评价与输出。 对候选假设及其研究计划进行统一评价，综合考虑证据一致性、科学合理性、可检验性、可证伪性、假设多样性和计划可执行性等指标。LLM评价器按照预设规则分别给出评分及具体评价理由，并识别当前结果中的主要证据缺口和潜在风险，研究者仅对阈值边界和高风险结论进行确认。达到评价阈值的假设与研究计划进入最终输出，并保留其关键证据来源和迭代记录；未达到阈值的结果则将评分、失败原因和待补充证据写入下一轮状态，用于指导后续假设修订、证据补充和实验重新规划，从而形成“生成—评价—反馈—修订”的持续迭代闭环。</w:t>
      </w:r>
    </w:p>
    <w:p>
      <w:pPr>
        <w:pStyle w:val="000001"/>
        <w:pBdr>
          <w:bottom/>
        </w:pBdr>
        <w:snapToGrid w:val="0"/>
        <w:spacing w:before="0" w:after="0" w:line="240"/>
        <w:ind w:firstLineChars="200"/>
        <w:rPr>
          <w:b w:val="0"/>
          <w:sz w:val="21"/>
        </w:rPr>
      </w:pPr>
    </w:p>
    <w:p>
      <w:pPr>
        <w:pStyle w:val="000003"/>
        <w:snapToGrid w:val="1"/>
        <w:spacing w:line="240"/>
        <w:ind/>
        <w:rPr/>
      </w:pPr>
      <w:bookmarkStart w:id="42" w:name="_Tocthyfsc"/>
      <w:r>
        <w:rPr>
          <w:rFonts w:hint="eastAsia"/>
          <w:i w:val="0"/>
          <w:strike w:val="0"/>
          <w:color w:val="000000"/>
          <w:u w:val="none"/>
        </w:rPr>
        <w:t>3</w:t>
      </w:r>
      <w:r>
        <w:rPr>
          <w:i w:val="0"/>
          <w:strike w:val="0"/>
          <w:color w:val="000000"/>
          <w:u w:val="none"/>
        </w:rPr>
        <w:t>.3 启真智能真机实验体系</w:t>
      </w:r>
      <w:bookmarkEnd w:id="41"/>
      <w:bookmarkEnd w:id="42"/>
    </w:p>
    <w:p>
      <w:pPr>
        <w:pStyle w:val="eti4qs"/>
        <w:pBdr>
          <w:bottom/>
        </w:pBdr>
        <w:snapToGrid w:val="0"/>
        <w:spacing w:before="0" w:after="0" w:line="240"/>
        <w:ind w:firstLineChars="200"/>
        <w:rPr>
          <w:b w:val="0"/>
          <w:sz w:val="21"/>
        </w:rPr>
      </w:pPr>
      <w:bookmarkStart w:id="43" w:name="_Tocrvekkc"/>
      <w:r>
        <w:rPr>
          <w:b w:val="0"/>
          <w:sz w:val="21"/>
        </w:rPr>
        <w:t>科学发现不仅需要形成可验证的研究假设，还需要将实验方案转化为真实物理环境中的连续操作，并从实验过程中获得新的事实证据。现有科研智能体主要运行于文献、代码和仿真环境，实验方案与真实仪器之间仍缺少稳定、通用的执行接口；同时，不同实验设备、机器人平台和操作规程差异显著，直接由上层规划生成底层控制指令，难以保证执行的可靠性、可迁移性和可追溯性。尤其在真实实验中，单个研究任务往往涉及取样、移液、混合、反应、检测等多个连续步骤，需要不同设备协同执行，并根据实验状态动态调整后续操作。因此，需要在上层科学规划与底层设备控制之间建立统一的技能表示与任务编排机制，将复杂实验协议逐步分解为可执行、可组合、可验证的基础操作，同时持续记录设备状态、实验数据和异常信息，为后续分析与决策提供反馈。针对上述问题，本项目构建由“标准化技能建模、复杂流程编排、多模态具身执行和真实状态回传”组成的启真智能真机实验体系，通过标准化技能屏蔽不同实验设备的控制差异，以流程编排实现多步骤实验的自动衔接，并结合视觉感知与状态反馈提高真实环境下的执行可靠性，将科学假设、实验协议与物理执行贯通起来，使真实实验成为科研闭环中的可编排执行环节和可观测反馈来源，并为后续假设评价、实验调整与新一轮研究规划提供真实实验依据。</w:t>
      </w:r>
    </w:p>
    <w:p>
      <w:pPr>
        <w:pStyle w:val="000004"/>
        <w:snapToGrid w:val="1"/>
        <w:spacing w:line="240"/>
        <w:ind/>
        <w:rPr/>
      </w:pPr>
      <w:bookmarkStart w:id="44" w:name="_Toc0l53ia"/>
      <w:r>
        <w:rPr>
          <w:rFonts w:hint="eastAsia"/>
          <w:i w:val="0"/>
          <w:strike w:val="0"/>
          <w:color w:val="000000"/>
          <w:u w:val="none"/>
        </w:rPr>
        <w:t>3</w:t>
      </w:r>
      <w:r>
        <w:rPr>
          <w:i w:val="0"/>
          <w:strike w:val="0"/>
          <w:color w:val="000000"/>
          <w:u w:val="none"/>
        </w:rPr>
        <w:t>.3.1 标准化实验技能建模与网络化组织</w:t>
      </w:r>
      <w:bookmarkEnd w:id="43"/>
      <w:bookmarkEnd w:id="44"/>
    </w:p>
    <w:p>
      <w:pPr>
        <w:pStyle w:val="eti4qs"/>
        <w:snapToGrid w:val="0"/>
        <w:spacing w:before="0" w:after="0" w:line="240"/>
        <w:ind w:firstLineChars="200"/>
        <w:rPr>
          <w:b w:val="0"/>
          <w:sz w:val="21"/>
        </w:rPr>
      </w:pPr>
      <w:r>
        <w:rPr>
          <w:b w:val="0"/>
          <w:sz w:val="21"/>
        </w:rPr>
        <w:t>本项目基于SkillNet对实验操作、仪器接口和专家经验进行统一建模，将分散的实验过程封装为可独立调用的标准化技能单元。每项技能均明确其适用条件、输入输出、执行步骤、设备接口、完成状态和异常边界，从而在高层实验方案与底层设备指令之间建立稳定的能力抽象。对于化学实验，加样、取放、倾倒、混合、加热、搅拌、取样和检测等操作均可表示为原子技能，复杂实验则由多个原子技能按照既定约束组合完成。</w:t>
      </w:r>
    </w:p>
    <w:p>
      <w:pPr>
        <w:pStyle w:val="eti4qs"/>
        <w:snapToGrid w:val="0"/>
        <w:spacing w:before="0" w:after="0" w:line="240"/>
        <w:ind w:firstLineChars="200"/>
        <w:rPr>
          <w:i w:val="0"/>
          <w:strike w:val="0"/>
          <w:color w:val="000000"/>
          <w:u w:val="none"/>
        </w:rPr>
      </w:pPr>
      <w:r>
        <w:rPr>
          <w:b w:val="0"/>
          <w:sz w:val="21"/>
        </w:rPr>
        <w:t>SkillNet进一步从技能分类、关系组织和能力封装三个层级构建技能网络。分类体系用于确定技能所属领域及功能类型，关系图谱用于表达技能之间的相似、组合、归属和前置依赖关系，技能包则将能够协同完成特定任务的多个技能封装为可复用能力集合。通过这一结构，实验能力不再表现为若干彼此孤立的设备接口，而被组织为能够检索、组合、替换和持续更新的技能网络，为跨任务复用和后续技能进化提供统一表示。</w:t>
      </w:r>
      <w:r>
        <w:rPr>
          <w:i w:val="0"/>
          <w:strike w:val="0"/>
          <w:color w:val="000000"/>
          <w:u w:val="none"/>
        </w:rPr>
        <w:t xml:space="preserve"> </w:t>
      </w:r>
    </w:p>
    <w:p>
      <w:pPr>
        <w:pStyle w:val="eti4qs"/>
        <w:snapToGrid w:val="0"/>
        <w:spacing w:before="0" w:after="0" w:line="240"/>
        <w:ind w:firstLineChars="200"/>
        <w:rPr>
          <w:b w:val="0"/>
          <w:sz w:val="21"/>
        </w:rPr>
      </w:pPr>
      <w:r>
        <w:rPr>
          <w:b w:val="0"/>
          <w:sz w:val="21"/>
        </w:rPr>
        <w:t>图中从技能分类体系、技能关系图谱和技能包库三个层级组织实验能力，通过类别归属、相似关联、组合关系和前置依赖，将分散技能连接为可检索、可组合、可复用的能力网络。</w:t>
      </w:r>
    </w:p>
    <w:p>
      <w:pPr>
        <w:pStyle w:val="3mrkcm"/>
        <w:numPr/>
        <w:ind/>
        <w:rPr/>
      </w:pPr>
      <w:bookmarkStart w:id="45" w:name="_Tocigbqxd"/>
      <w:bookmarkStart w:id="46" w:name="_Tocrjg8in"/>
      <w:r>
        <w:rPr/>
        <w:drawing>
          <wp:inline distT="0" distB="0" distL="0" distR="0">
            <wp:extent cx="4973320" cy="3177587"/>
            <wp:effectExtent l="0" t="0" r="0" b="0"/>
            <wp:docPr id="20" name="picture" descr="descript"/>
            <wp:cNvGraphicFramePr/>
            <a:graphic>
              <a:graphicData uri="http://schemas.openxmlformats.org/drawingml/2006/picture">
                <pic:pic>
                  <pic:nvPicPr>
                    <pic:cNvPr id="21" name="picture" descr="descript"/>
                    <pic:cNvPicPr/>
                  </pic:nvPicPr>
                  <pic:blipFill rotWithShape="1">
                    <a:blip r:embed="rId17"/>
                    <a:srcRect/>
                    <a:stretch/>
                  </pic:blipFill>
                  <pic:spPr>
                    <a:xfrm flipH="0" flipV="0">
                      <a:off x="0" y="0"/>
                      <a:ext cx="4973320" cy="3177587"/>
                    </a:xfrm>
                    <a:prstGeom prst="rect">
                      <a:avLst/>
                    </a:prstGeom>
                    <a:ln/>
                  </pic:spPr>
                </pic:pic>
              </a:graphicData>
            </a:graphic>
          </wp:inline>
        </w:drawing>
      </w:r>
    </w:p>
    <w:p>
      <w:pPr>
        <w:pStyle w:val="3mrkcm"/>
        <w:numPr/>
        <w:pBdr>
          <w:bottom/>
        </w:pBdr>
        <w:ind/>
        <w:rPr/>
      </w:pPr>
      <w:r>
        <w:rPr/>
        <w:t>图</w:t>
      </w:r>
      <w:r>
        <w:rPr>
          <w:rFonts w:hint="eastAsia"/>
        </w:rPr>
        <w:t>3</w:t>
      </w:r>
      <w:r>
        <w:rPr/>
        <w:t>.5 SkillNet技能本体、关系图谱与技能包组织框架</w:t>
      </w:r>
    </w:p>
    <w:p>
      <w:pPr>
        <w:pStyle w:val="000004"/>
        <w:snapToGrid w:val="1"/>
        <w:spacing w:line="240"/>
        <w:ind/>
        <w:rPr>
          <w:color w:val="FF0000"/>
        </w:rPr>
      </w:pPr>
      <w:r>
        <w:rPr>
          <w:rFonts w:hint="eastAsia"/>
          <w:i w:val="0"/>
          <w:strike w:val="0"/>
          <w:color w:val="000000"/>
          <w:u w:val="none"/>
        </w:rPr>
        <w:t>3</w:t>
      </w:r>
      <w:r>
        <w:rPr>
          <w:i w:val="0"/>
          <w:strike w:val="0"/>
          <w:color w:val="000000"/>
          <w:u w:val="none"/>
        </w:rPr>
        <w:t>.3.2 复杂实验流程的约束编排与跨设备适配</w:t>
      </w:r>
      <w:bookmarkEnd w:id="45"/>
      <w:bookmarkEnd w:id="46"/>
    </w:p>
    <w:p>
      <w:pPr>
        <w:pStyle w:val="eti4qs"/>
        <w:snapToGrid w:val="0"/>
        <w:spacing w:before="0" w:after="0" w:line="240"/>
        <w:ind w:firstLineChars="200"/>
        <w:rPr>
          <w:b w:val="0"/>
          <w:sz w:val="21"/>
        </w:rPr>
      </w:pPr>
      <w:r>
        <w:rPr>
          <w:b w:val="0"/>
          <w:sz w:val="21"/>
        </w:rPr>
        <w:t>高层实验方案通常描述研究目标、实验条件和操作顺序，但并不能直接作为装置执行指令。启真系统依据SkillNet中的技能关系，将实验协议解析为满足依赖约束的技能序列，并结合样品状态、设备能力、工具可用性和实验安全要求完成流程编排。系统在执行每项技能前检查其前置条件，在执行完成后更新样品、容器和设备状态，使后续操作能够依据真实状态继续推进，避免将复杂实验简化为缺少状态约束的固定指令链。</w:t>
      </w:r>
    </w:p>
    <w:p>
      <w:pPr>
        <w:pStyle w:val="eti4qs"/>
        <w:snapToGrid w:val="0"/>
        <w:spacing w:before="0" w:after="0" w:line="240"/>
        <w:ind w:firstLineChars="200"/>
        <w:rPr>
          <w:b w:val="0"/>
          <w:sz w:val="21"/>
        </w:rPr>
      </w:pPr>
      <w:r>
        <w:rPr>
          <w:b w:val="0"/>
          <w:sz w:val="21"/>
        </w:rPr>
        <w:t>该编排机制同时降低了实验流程对具体设备的绑定程度。高层方案描述实验需要完成的功能，技能层负责选择相应操作，设备适配层再将技能映射为具体仪器接口或机器人动作。当机械臂、加热装置或检测设备发生变化时，只需替换对应技能实现或设备适配模块，无需重新设计完整实验流程。由此，实验协议、技能逻辑和物理设备被分离为相互衔接的层级，提高了系统在不同装置和实验场景之间的迁移能力。</w:t>
      </w:r>
    </w:p>
    <w:p>
      <w:pPr>
        <w:pStyle w:val="000004"/>
        <w:snapToGrid w:val="1"/>
        <w:spacing w:line="240"/>
        <w:ind/>
        <w:rPr/>
      </w:pPr>
      <w:bookmarkStart w:id="47" w:name="_Tocjb5wel"/>
      <w:bookmarkStart w:id="48" w:name="_Toc0l6p0r"/>
      <w:r>
        <w:rPr>
          <w:rFonts w:hint="eastAsia"/>
          <w:i w:val="0"/>
          <w:strike w:val="0"/>
          <w:color w:val="000000"/>
          <w:u w:val="none"/>
        </w:rPr>
        <w:t>3</w:t>
      </w:r>
      <w:r>
        <w:rPr>
          <w:i w:val="0"/>
          <w:strike w:val="0"/>
          <w:color w:val="000000"/>
          <w:u w:val="none"/>
        </w:rPr>
        <w:t>.3.3 面向科学实验的多模态具身执行</w:t>
      </w:r>
      <w:bookmarkEnd w:id="47"/>
      <w:bookmarkEnd w:id="48"/>
    </w:p>
    <w:p>
      <w:pPr>
        <w:pStyle w:val="eti4qs"/>
        <w:snapToGrid w:val="0"/>
        <w:spacing w:before="0" w:after="0" w:line="240"/>
        <w:ind w:firstLineChars="200"/>
        <w:rPr>
          <w:b w:val="0"/>
          <w:sz w:val="21"/>
        </w:rPr>
      </w:pPr>
      <w:r>
        <w:rPr>
          <w:b w:val="0"/>
          <w:sz w:val="21"/>
        </w:rPr>
        <w:t>对于取放、倾倒、搅拌和容器开合等难以通过固定仪器接口完成的操作，本项目引入LabVLA建立实验协议与机器人连续动作之间的映射。LabVLA以多视角视觉信息、机器人本体状态和实验指令为输入，由视觉语言主干理解实验目标、物体关系和当前环境，再由动作专家生成连续控制轨迹。模型采用FAST动作表征进行预训练，并通过Flow Matching完成连续动作建模，使实验语义理解、场景感知和精细操作能够在统一框架下协同完成。</w:t>
      </w:r>
    </w:p>
    <w:p>
      <w:pPr>
        <w:pStyle w:val="eti4qs"/>
        <w:snapToGrid w:val="0"/>
        <w:spacing w:before="0" w:after="0" w:line="240"/>
        <w:ind w:firstLineChars="200"/>
        <w:rPr>
          <w:b w:val="0"/>
          <w:sz w:val="21"/>
        </w:rPr>
      </w:pPr>
      <w:r>
        <w:rPr>
          <w:b w:val="0"/>
          <w:sz w:val="21"/>
        </w:rPr>
        <w:t>围绕实验室场景数据稀缺、装置差异大和操作链条长等问题，LabVLA进一步构建了面向科学实验的环境与数据生成流程。系统利用实验资产库和场景库构建多样化实验环境，由规划模块调用倒液、放置、按压、搅拌、摇匀和开合等原子技能形成完整工作流，并通过跨机器人本体建模和场景随机化扩展数据分布。同时，对子任务、物体状态、相机视角和空间关系进行结构化标注，使模型能够同时学习“实验要完成什么”“当前环境处于何种状态”以及“下一步应执行何种动作”。</w:t>
      </w:r>
    </w:p>
    <w:p>
      <w:pPr>
        <w:pStyle w:val="eti4qs"/>
        <w:pBdr>
          <w:bottom/>
        </w:pBdr>
        <w:snapToGrid w:val="0"/>
        <w:spacing w:before="0" w:after="0" w:line="240"/>
        <w:ind w:firstLineChars="200"/>
        <w:rPr>
          <w:b w:val="0"/>
          <w:sz w:val="21"/>
        </w:rPr>
      </w:pPr>
      <w:r>
        <w:rPr>
          <w:b w:val="0"/>
          <w:sz w:val="21"/>
        </w:rPr>
        <w:t>在真实Franka机器人平台上，LabVLA已完成摇匀、液体倾倒、磁力搅拌和塞子插拔等实验操作。相关任务由多个原子动作组合构成，并在目标位置变化和环境干扰条件下进行验证，表明该体系能够将多步骤实验协议转化为连续、可执行的具身操作。图3.6中展示了从实验资产和场景构建，到原子技能组合、具身工作流生成、跨机器人本体建模和多层实验状态标注的完整数据构造流程。</w:t>
      </w:r>
    </w:p>
    <w:p>
      <w:pPr>
        <w:snapToGrid w:val="1"/>
        <w:spacing w:line="240"/>
        <w:ind/>
        <w:jc w:val="center"/>
        <w:rPr/>
      </w:pPr>
      <w:r>
        <w:rPr/>
        <w:drawing>
          <wp:inline distT="0" distB="0" distL="0" distR="0">
            <wp:extent cx="4859020" cy="3739924"/>
            <wp:effectExtent l="0" t="0" r="0" b="0"/>
            <wp:docPr id="23" name="picture" descr="descript"/>
            <wp:cNvGraphicFramePr/>
            <a:graphic>
              <a:graphicData uri="http://schemas.openxmlformats.org/drawingml/2006/picture">
                <pic:pic>
                  <pic:nvPicPr>
                    <pic:cNvPr id="24" name="picture" descr="descript"/>
                    <pic:cNvPicPr/>
                  </pic:nvPicPr>
                  <pic:blipFill rotWithShape="1">
                    <a:blip r:embed="rId18"/>
                    <a:srcRect/>
                    <a:stretch/>
                  </pic:blipFill>
                  <pic:spPr>
                    <a:xfrm flipH="0" flipV="0">
                      <a:off x="0" y="0"/>
                      <a:ext cx="4859020" cy="3739924"/>
                    </a:xfrm>
                    <a:prstGeom prst="rect">
                      <a:avLst/>
                    </a:prstGeom>
                    <a:ln/>
                  </pic:spPr>
                </pic:pic>
              </a:graphicData>
            </a:graphic>
          </wp:inline>
        </w:drawing>
      </w:r>
    </w:p>
    <w:p>
      <w:pPr>
        <w:pStyle w:val="eti4qs"/>
        <w:snapToGrid w:val="0"/>
        <w:spacing w:before="0" w:after="0" w:line="240"/>
        <w:ind w:firstLineChars="200"/>
        <w:jc w:val="center"/>
        <w:rPr>
          <w:b w:val="0"/>
          <w:sz w:val="21"/>
        </w:rPr>
      </w:pPr>
      <w:r>
        <w:rPr>
          <w:b w:val="0"/>
          <w:sz w:val="21"/>
        </w:rPr>
        <w:t>图3.6 LabVLA实验环境构建、技能工作流生成与跨本体数据组织框架</w:t>
      </w:r>
    </w:p>
    <w:p>
      <w:pPr>
        <w:pStyle w:val="000004"/>
        <w:snapToGrid w:val="1"/>
        <w:spacing w:line="240"/>
        <w:ind/>
        <w:rPr/>
      </w:pPr>
      <w:bookmarkStart w:id="49" w:name="_Tocu2nj3x"/>
      <w:bookmarkStart w:id="50" w:name="_Tocot8nsc"/>
      <w:r>
        <w:rPr>
          <w:rFonts w:hint="eastAsia"/>
          <w:i w:val="0"/>
          <w:strike w:val="0"/>
          <w:color w:val="000000"/>
          <w:u w:val="none"/>
        </w:rPr>
        <w:t>3</w:t>
      </w:r>
      <w:r>
        <w:rPr>
          <w:i w:val="0"/>
          <w:strike w:val="0"/>
          <w:color w:val="000000"/>
          <w:u w:val="none"/>
        </w:rPr>
        <w:t>.3.4 真实实验状态回传与自进化接口</w:t>
      </w:r>
      <w:bookmarkEnd w:id="49"/>
      <w:bookmarkEnd w:id="50"/>
    </w:p>
    <w:p>
      <w:pPr>
        <w:pStyle w:val="eti4qs"/>
        <w:snapToGrid w:val="0"/>
        <w:spacing w:before="0" w:after="0" w:line="240"/>
        <w:ind w:firstLineChars="200"/>
        <w:rPr>
          <w:b w:val="0"/>
          <w:sz w:val="21"/>
        </w:rPr>
      </w:pPr>
      <w:r>
        <w:rPr>
          <w:b w:val="0"/>
          <w:sz w:val="21"/>
        </w:rPr>
        <w:t>启真智能真机实验体系并不将真实装置视为单向执行终端，而是将其构建为可感知、可记录、可诊断的物理反馈接口。实验执行过程中，系统同步记录视觉状态、设备状态、样品变化、动作轨迹、执行日志和异常信息，并将产率、选择性、转化率及表征结果等实验观测统一返回上层科研系统。由此，每轮实验不仅产生一个最终结果，还形成包含实验条件、操作过程、装置状态和结果证据的完整实验轨迹。</w:t>
      </w:r>
    </w:p>
    <w:p>
      <w:pPr>
        <w:pStyle w:val="eti4qs"/>
        <w:snapToGrid w:val="0"/>
        <w:spacing w:before="0" w:after="0" w:line="240"/>
        <w:ind w:firstLineChars="200"/>
        <w:rPr>
          <w:b w:val="0"/>
          <w:sz w:val="21"/>
        </w:rPr>
      </w:pPr>
      <w:r>
        <w:rPr>
          <w:b w:val="0"/>
          <w:sz w:val="21"/>
        </w:rPr>
        <w:t>这些真实观测为后续科学评价和条件迭代提供了物理依据。上层系统可以结合实验结果与过程信息，判断问题来源于实验方案、技能编排、具身操作还是设备状态，并据此修正下一轮实验条件或执行流程。经过验证的技能组合、操作参数和异常处理策略还可重新写入SkillNet，成为后续任务能够直接检索和复用的实验能力。启真体系由此形成“方案生成—技能编排—物理执行—状态回传—评价诊断—迭代修正”的真机闭环，使真实实验产生的新证据能够进一步推动实验策略和科研能力持续演进。</w:t>
      </w:r>
    </w:p>
    <w:p>
      <w:pPr>
        <w:pStyle w:val="000003"/>
        <w:snapToGrid w:val="1"/>
        <w:spacing w:line="240"/>
        <w:ind/>
        <w:rPr>
          <w:color w:val="FF0000"/>
        </w:rPr>
      </w:pPr>
      <w:bookmarkStart w:id="51" w:name="_Tocl0twcu"/>
      <w:bookmarkStart w:id="52" w:name="_Tockyz2id"/>
      <w:r>
        <w:rPr>
          <w:rFonts w:hint="eastAsia"/>
          <w:i w:val="0"/>
          <w:strike w:val="0"/>
          <w:color w:val="000000"/>
          <w:u w:val="none"/>
        </w:rPr>
        <w:t>3</w:t>
      </w:r>
      <w:r>
        <w:rPr>
          <w:i w:val="0"/>
          <w:strike w:val="0"/>
          <w:color w:val="000000"/>
          <w:u w:val="none"/>
        </w:rPr>
        <w:t>.4 启真自动迭代系统</w:t>
      </w:r>
      <w:bookmarkEnd w:id="51"/>
      <w:bookmarkEnd w:id="52"/>
    </w:p>
    <w:p>
      <w:pPr>
        <w:pStyle w:val="eti4qs"/>
        <w:snapToGrid w:val="0"/>
        <w:spacing w:before="0" w:after="0" w:line="240"/>
        <w:ind w:firstLineChars="200"/>
        <w:rPr>
          <w:b w:val="0"/>
          <w:sz w:val="21"/>
        </w:rPr>
      </w:pPr>
      <w:r>
        <w:rPr>
          <w:b w:val="0"/>
          <w:sz w:val="21"/>
        </w:rPr>
        <w:t>真实实验返回的是物理世界中的客观观测，但这些观测并不天然构成可直接使用的优化信号。相同的低产率可能由反应机理不成立、条件组合不合理、实验操作偏差、设备状态异常或检测误差引起；单次产率提升也不足以证明方案成立，还需要结合选择性、重复性、表征证据和安全约束进行综合判断。启真自动迭代系统面向这一问题，将任务特定科研评价、真机实验反馈和实验条件修正统一到同一闭环中，使系统不仅能够获得实验结果，还能够判断结果的科学含义，并据此形成下一轮实验方案。</w:t>
      </w:r>
    </w:p>
    <w:p>
      <w:pPr>
        <w:pStyle w:val="eti4qs"/>
        <w:snapToGrid w:val="0"/>
        <w:spacing w:before="0" w:after="0" w:line="240"/>
        <w:ind w:firstLineChars="200"/>
        <w:rPr>
          <w:b w:val="0"/>
          <w:sz w:val="21"/>
        </w:rPr>
      </w:pPr>
      <w:r>
        <w:rPr>
          <w:b w:val="0"/>
          <w:sz w:val="21"/>
        </w:rPr>
        <w:t>系统以AutoSciRub的“评价先行”机制为基础，在实验执行前建立明确的科学目标和评价依据，在实验执行后依据真实观测逐项核验目标完成情况，识别尚未解决的问题及其产生原因。诊断结果进一步驱动实验条件、验证方案和执行流程的定向调整。多轮实验形成的成功经验、失败边界和可靠技能组合被持续保存并回写至实验知识与技能体系，使系统的改进由单次参数优化扩展为实验策略和科研能力的持续更新。</w:t>
      </w:r>
    </w:p>
    <w:p>
      <w:pPr>
        <w:pStyle w:val="000004"/>
        <w:snapToGrid w:val="1"/>
        <w:spacing w:line="240"/>
        <w:ind/>
        <w:rPr/>
      </w:pPr>
      <w:bookmarkStart w:id="53" w:name="_Toc21r0ei"/>
      <w:bookmarkStart w:id="54" w:name="_Tocsk21is"/>
      <w:r>
        <w:rPr>
          <w:rFonts w:hint="eastAsia"/>
          <w:i w:val="0"/>
          <w:strike w:val="0"/>
          <w:color w:val="000000"/>
          <w:u w:val="none"/>
        </w:rPr>
        <w:t>3</w:t>
      </w:r>
      <w:r>
        <w:rPr>
          <w:i w:val="0"/>
          <w:strike w:val="0"/>
          <w:color w:val="000000"/>
          <w:u w:val="none"/>
        </w:rPr>
        <w:t>.4.1 任务特定科研评价规范的自动构建</w:t>
      </w:r>
      <w:bookmarkEnd w:id="53"/>
      <w:bookmarkEnd w:id="54"/>
    </w:p>
    <w:p>
      <w:pPr>
        <w:pStyle w:val="eti4qs"/>
        <w:snapToGrid w:val="0"/>
        <w:spacing w:before="0" w:after="0" w:line="240"/>
        <w:ind w:firstLineChars="200"/>
        <w:rPr>
          <w:b w:val="0"/>
          <w:sz w:val="21"/>
        </w:rPr>
      </w:pPr>
      <w:r>
        <w:rPr>
          <w:b w:val="0"/>
          <w:sz w:val="21"/>
        </w:rPr>
        <w:t>不同科学任务具有不同的研究目标和证据要求。催化反应条件优化通常关注产率、选择性、稳定性和实验成本，反应机理研究更强调变量控制、对照实验、产物表征和因果解释，真实装置实验还必须考虑设备能力、操作可达性和实验安全。</w:t>
      </w:r>
      <w:r>
        <w:rPr>
          <w:rFonts w:hint="eastAsia"/>
          <w:b w:val="0"/>
          <w:sz w:val="21"/>
        </w:rPr>
        <w:t>故本</w:t>
      </w:r>
      <w:r>
        <w:rPr>
          <w:b w:val="0"/>
          <w:sz w:val="21"/>
        </w:rPr>
        <w:t>系统不采用一套固定指标评价所有任务，而是针对具体科学问题动态构建任务特定的可执行科研评价规范。</w:t>
      </w:r>
    </w:p>
    <w:p>
      <w:pPr>
        <w:pStyle w:val="eti4qs"/>
        <w:snapToGrid w:val="0"/>
        <w:spacing w:before="0" w:after="0" w:line="240"/>
        <w:ind w:firstLineChars="200"/>
        <w:rPr>
          <w:b w:val="0"/>
          <w:sz w:val="21"/>
        </w:rPr>
      </w:pPr>
      <w:r>
        <w:rPr>
          <w:b w:val="0"/>
          <w:sz w:val="21"/>
        </w:rPr>
        <w:t>系统首先解析科研任务中隐含的科学要求，将开放问题分解为若干能够独立核验的科学目标；随后结合SciAtlas提供的领域知识、相关研究方法、历史实验记录以及当前可用的仪器和实验资源，确定各项目标所需的实验方法、变量范围、评价指标、对照关系和证据形式。最终形成的评价规范同时明确实验需要完成什么、结果应当如何比较、结论需要哪些证据支持，以及在何种条件下继续、调整或终止实验。</w:t>
      </w:r>
    </w:p>
    <w:p>
      <w:pPr>
        <w:pStyle w:val="eti4qs"/>
        <w:snapToGrid w:val="0"/>
        <w:spacing w:before="0" w:after="0" w:line="240"/>
        <w:ind w:firstLineChars="200"/>
        <w:rPr/>
      </w:pPr>
      <w:r>
        <w:rPr>
          <w:b w:val="0"/>
          <w:sz w:val="21"/>
        </w:rPr>
        <w:t>这一评价规范不是实验完成后的附加评分表，而是实验全过程的控制依据。它在方案形成阶段约束实验设计，在执行阶段规定需要采集的数据和过程记录，在反馈阶段提供逐项核验标准，并为下一轮修正确定优先级。AutoSciRub将开放科研指令中的隐含要求转化为任务特定的实验、指标、证据和满足条件，使评价由事后判断转变为贯穿研究执行的科学规范。</w:t>
      </w:r>
      <w:r>
        <w:rPr>
          <w:i w:val="0"/>
          <w:strike w:val="0"/>
          <w:color w:val="000000"/>
          <w:u w:val="none"/>
        </w:rPr>
        <w:t xml:space="preserve"> </w:t>
      </w:r>
    </w:p>
    <w:p>
      <w:pPr>
        <w:pStyle w:val="000004"/>
        <w:snapToGrid w:val="1"/>
        <w:spacing w:line="240"/>
        <w:ind/>
        <w:rPr/>
      </w:pPr>
      <w:bookmarkStart w:id="55" w:name="_Toc39gm3m"/>
      <w:bookmarkStart w:id="56" w:name="_Toc4qsr7u"/>
      <w:r>
        <w:rPr>
          <w:rFonts w:hint="eastAsia"/>
          <w:i w:val="0"/>
          <w:strike w:val="0"/>
          <w:color w:val="000000"/>
          <w:u w:val="none"/>
        </w:rPr>
        <w:t>3</w:t>
      </w:r>
      <w:r>
        <w:rPr>
          <w:i w:val="0"/>
          <w:strike w:val="0"/>
          <w:color w:val="000000"/>
          <w:u w:val="none"/>
        </w:rPr>
        <w:t>.4.2 多源实验反馈融合与失效归因</w:t>
      </w:r>
      <w:bookmarkEnd w:id="55"/>
      <w:bookmarkEnd w:id="56"/>
    </w:p>
    <w:p>
      <w:pPr>
        <w:pStyle w:val="eti4qs"/>
        <w:snapToGrid w:val="0"/>
        <w:spacing w:before="0" w:after="0" w:line="240"/>
        <w:ind w:firstLineChars="200"/>
        <w:rPr>
          <w:b w:val="0"/>
          <w:sz w:val="21"/>
        </w:rPr>
      </w:pPr>
      <w:r>
        <w:rPr>
          <w:b w:val="0"/>
          <w:sz w:val="21"/>
        </w:rPr>
        <w:t>单一产率只能反映实验结果的一个侧面，无法解释实验为何成功或失败。启真自动迭代系统在真机执行过程中同步采集结果、过程和证据三个层面的信息。结果层包括产率、转化率、选择性、纯度和表征数据；过程层包括反应时间、温度变化、设备状态、机械臂操作轨迹和异常日志；证据层关注对照实验是否完整、重复性是否充分以及实验结论能否由当前观测支持。SkillNet和LabVLA在完成实验技能编排与具身执行的同时，将装置状态、操作记录和异常信息统一返回评价模块，为实验归因提供完整的过程基础。</w:t>
      </w:r>
    </w:p>
    <w:p>
      <w:pPr>
        <w:pStyle w:val="eti4qs"/>
        <w:snapToGrid w:val="0"/>
        <w:spacing w:before="0" w:after="0" w:line="240"/>
        <w:ind w:firstLineChars="200"/>
        <w:rPr>
          <w:b w:val="0"/>
          <w:sz w:val="21"/>
        </w:rPr>
      </w:pPr>
      <w:r>
        <w:rPr>
          <w:b w:val="0"/>
          <w:sz w:val="21"/>
        </w:rPr>
        <w:t>评价模块依据任务特定规范对实验目标逐项核验，不仅判断某项要求是否满足，还分析尚未满足的原因。系统将实验问题区分为科学假设、反应条件、实验执行、设备状态和证据完整性等不同层次。例如，低产率可能意味着当前温度、时间或催化剂配比不合理，也可能由加样偏差、搅拌异常或检测设备失准造成；即使获得较高产率，若缺少必要对照或重复实验，也不能直接形成可靠结论。</w:t>
      </w:r>
    </w:p>
    <w:p>
      <w:pPr>
        <w:pStyle w:val="eti4qs"/>
        <w:snapToGrid w:val="0"/>
        <w:spacing w:before="0" w:after="0" w:line="240"/>
        <w:ind w:firstLineChars="200"/>
        <w:rPr>
          <w:b w:val="0"/>
          <w:sz w:val="21"/>
        </w:rPr>
      </w:pPr>
      <w:r>
        <w:rPr>
          <w:b w:val="0"/>
          <w:sz w:val="21"/>
        </w:rPr>
        <w:t>通过多源观测之间的交叉验证，系统将原始实验反馈转化为带有证据依据和修正方向的结构化诊断。与只返回整体评分的评价方式相比，评价项级核验能直接指出缺失实验、不完整比较、证据不足和结论越界等具体问题，为下一轮实验提供可执行的改进依据。</w:t>
      </w:r>
    </w:p>
    <w:p>
      <w:pPr>
        <w:pStyle w:val="000004"/>
        <w:snapToGrid w:val="1"/>
        <w:spacing w:line="240"/>
        <w:ind/>
        <w:rPr/>
      </w:pPr>
      <w:bookmarkStart w:id="57" w:name="_Toc17rx38"/>
      <w:bookmarkStart w:id="58" w:name="_Toc43o1i4"/>
      <w:r>
        <w:rPr>
          <w:rFonts w:hint="eastAsia"/>
          <w:i w:val="0"/>
          <w:strike w:val="0"/>
          <w:color w:val="000000"/>
          <w:u w:val="none"/>
        </w:rPr>
        <w:t>3</w:t>
      </w:r>
      <w:r>
        <w:rPr>
          <w:i w:val="0"/>
          <w:strike w:val="0"/>
          <w:color w:val="000000"/>
          <w:u w:val="none"/>
        </w:rPr>
        <w:t>.4.3 设备与安全约束下的实验条件定向迭代</w:t>
      </w:r>
      <w:bookmarkEnd w:id="57"/>
      <w:bookmarkEnd w:id="58"/>
    </w:p>
    <w:p>
      <w:pPr>
        <w:pStyle w:val="eti4qs"/>
        <w:snapToGrid w:val="0"/>
        <w:spacing w:before="0" w:after="0" w:line="240"/>
        <w:ind w:firstLineChars="200"/>
        <w:rPr>
          <w:b w:val="0"/>
          <w:sz w:val="21"/>
        </w:rPr>
      </w:pPr>
      <w:r>
        <w:rPr>
          <w:b w:val="0"/>
          <w:sz w:val="21"/>
        </w:rPr>
        <w:t>实验条件的更新由失效诊断直接驱动，而不是围绕产率进行无约束试探。系统根据当前实验结果、历史实验轨迹和评价规范，定位影响目标完成的关键因素，在保持必要变量控制关系的前提下调整相关条件。当问题来自反应条件时，系统可以修改温度、时间、催化剂用量、配体、溶剂或物料配比；当问题来自执行过程时，系统优先调整技能调用顺序、操作参数或装置状态；当证据不足时，系统补充对照实验、重复测量或产物表征；当实验事实与原有假设持续冲突时，则重新审视研究假设和候选方向。</w:t>
      </w:r>
    </w:p>
    <w:p>
      <w:pPr>
        <w:pStyle w:val="eti4qs"/>
        <w:snapToGrid w:val="0"/>
        <w:spacing w:before="0" w:after="0" w:line="240"/>
        <w:ind w:firstLineChars="200"/>
        <w:rPr>
          <w:b w:val="0"/>
          <w:sz w:val="21"/>
        </w:rPr>
      </w:pPr>
      <w:r>
        <w:rPr>
          <w:b w:val="0"/>
          <w:sz w:val="21"/>
        </w:rPr>
        <w:t>下一轮实验方案必须同时满足实验设备、安全规范和科学验证的要求。系统对可调参数范围、仪器能力、试剂可用性、操作顺序和风险条件进行统一约束，避免生成超出装置能力或违反化学安全边界的实验方案。条件调整优先针对诊断中影响最大的变量，并尽可能保持其余条件稳定，使每轮变化都具有明确的比较基础和可解释的科学含义。</w:t>
      </w:r>
    </w:p>
    <w:p>
      <w:pPr>
        <w:pStyle w:val="eti4qs"/>
        <w:snapToGrid w:val="0"/>
        <w:spacing w:before="0" w:after="0" w:line="240"/>
        <w:ind w:firstLineChars="200"/>
        <w:rPr>
          <w:b w:val="0"/>
          <w:sz w:val="21"/>
        </w:rPr>
      </w:pPr>
      <w:r>
        <w:rPr>
          <w:b w:val="0"/>
          <w:sz w:val="21"/>
        </w:rPr>
        <w:t>系统还依据评价完成情况实施自适应停止。当核心科学目标和高优先级证据要求均已满足时，系统终止当前实验迭代；当结果已接近目标但证据链不完整时，转入重复性验证或补充表征；当设备异常或安全风险超出允许范围时，暂停执行并进入异常处理。由此形成“真实执行、结果核验、问题诊断、条件修正、再次执行”的闭环，使有限实验资源集中用于最有价值的验证与优化。</w:t>
      </w:r>
    </w:p>
    <w:p>
      <w:pPr>
        <w:pStyle w:val="000004"/>
        <w:snapToGrid w:val="1"/>
        <w:spacing w:line="240"/>
        <w:ind/>
        <w:rPr/>
      </w:pPr>
      <w:bookmarkStart w:id="59" w:name="_Toczi8y6r"/>
      <w:bookmarkStart w:id="60" w:name="_Toc9mqu3n"/>
      <w:r>
        <w:rPr>
          <w:rFonts w:hint="eastAsia"/>
          <w:i w:val="0"/>
          <w:strike w:val="0"/>
          <w:color w:val="000000"/>
          <w:u w:val="none"/>
        </w:rPr>
        <w:t>3</w:t>
      </w:r>
      <w:r>
        <w:rPr>
          <w:i w:val="0"/>
          <w:strike w:val="0"/>
          <w:color w:val="000000"/>
          <w:u w:val="none"/>
        </w:rPr>
        <w:t>.4.4 实验经验沉淀与科研能力进化</w:t>
      </w:r>
      <w:bookmarkEnd w:id="59"/>
      <w:bookmarkEnd w:id="60"/>
    </w:p>
    <w:p>
      <w:pPr>
        <w:pStyle w:val="eti4qs"/>
        <w:snapToGrid w:val="0"/>
        <w:spacing w:before="0" w:after="0" w:line="240"/>
        <w:ind w:firstLineChars="200"/>
        <w:rPr>
          <w:b w:val="0"/>
          <w:sz w:val="21"/>
        </w:rPr>
      </w:pPr>
      <w:r>
        <w:rPr>
          <w:b w:val="0"/>
          <w:sz w:val="21"/>
        </w:rPr>
        <w:t>启真自动迭代系统将每轮实验完整记录为包含实验条件、执行过程、观测结果、问题诊断和修正策略的结构化轨迹。成功实验不仅保存最终参数，还记录其成立所依赖的底物体系、装置条件、操作流程和证据范围；失败实验则保留失效条件、异常来源和风险边界，避免后续任务重复进入已被验证无效的实验区域。</w:t>
      </w:r>
    </w:p>
    <w:p>
      <w:pPr>
        <w:pStyle w:val="eti4qs"/>
        <w:snapToGrid w:val="0"/>
        <w:spacing w:before="0" w:after="0" w:line="240"/>
        <w:ind w:firstLineChars="200"/>
        <w:rPr>
          <w:b w:val="0"/>
          <w:sz w:val="21"/>
        </w:rPr>
      </w:pPr>
      <w:r>
        <w:rPr>
          <w:b w:val="0"/>
          <w:sz w:val="21"/>
        </w:rPr>
        <w:t>随着实验持续进行，系统的更新对象由参数层逐步扩展到策略层和能力层。在参数层，系统形成更可靠的候选范围和变量组合；在策略层，系统积累何时进行局部优化、何时切换搜索方向、何时补充对照和表征的决策经验；在能力层，经过验证的实验流程和技能组合被关联至SkillNet，由后续任务检索、组合和调用。实验经验因此不再停留于单次任务的结果记录，而成为能够影响后续实验规划和物理执行的持续性能力。</w:t>
      </w:r>
    </w:p>
    <w:p>
      <w:pPr>
        <w:pStyle w:val="eti4qs"/>
        <w:snapToGrid w:val="0"/>
        <w:spacing w:before="0" w:after="0" w:line="240"/>
        <w:ind w:firstLineChars="200"/>
        <w:rPr>
          <w:b w:val="0"/>
          <w:sz w:val="21"/>
        </w:rPr>
      </w:pPr>
      <w:r>
        <w:rPr>
          <w:b w:val="0"/>
          <w:sz w:val="21"/>
        </w:rPr>
        <w:t>AutoSciRub在数字科研任务中的验证表明，明确评价规范并进行评价项级定向修正，比缺少标准的整体自我修改更稳定。基于相同初始结果，评价规范引导的三轮修正取得了约为普通自我修正二点七倍的累计提升，并使大部分任务在有限轮次内达到验证要求。启真系统在此基础上进一步接入真实实验装置，将科研评价的对象由报告和数字实验产物扩展至实验条件、物理执行过程和真实观测结果，从而形成由科学评价驱动、由物理证据约束、能够持续沉淀经验的真机实验自进化机制。</w:t>
      </w:r>
    </w:p>
    <w:p>
      <w:pPr>
        <w:pStyle w:val="ozm0ah"/>
        <w:pBdr>
          <w:bottom/>
        </w:pBdr>
        <w:ind/>
        <w:rPr/>
      </w:pPr>
      <w:bookmarkStart w:id="61" w:name="_Toc2sn6dx"/>
      <w:bookmarkStart w:id="62" w:name="_Tocvx42nf"/>
      <w:r>
        <w:rPr>
          <w:rFonts w:hint="eastAsia"/>
        </w:rPr>
        <w:t>4</w:t>
      </w:r>
      <w:r>
        <w:rPr/>
        <w:t xml:space="preserve"> 真实应用</w:t>
      </w:r>
      <w:bookmarkEnd w:id="61"/>
      <w:r>
        <w:rPr>
          <w:rFonts w:hint="eastAsia"/>
        </w:rPr>
        <w:t>：代表性测试案例</w:t>
      </w:r>
      <w:bookmarkEnd w:id="62"/>
    </w:p>
    <w:p>
      <w:pPr>
        <w:pStyle w:val="eti4qs"/>
        <w:pBdr/>
        <w:snapToGrid w:val="0"/>
        <w:spacing w:before="0" w:after="0" w:line="240"/>
        <w:ind w:firstLineChars="200"/>
        <w:rPr>
          <w:b w:val="0"/>
          <w:sz w:val="21"/>
        </w:rPr>
      </w:pPr>
      <w:r>
        <w:rPr>
          <w:b w:val="0"/>
          <w:sz w:val="21"/>
        </w:rPr>
        <w:t>作为一个能够进入真实实验室的科研系统，启真Scientist不仅要能在有限实验代价下更快锁定正确条件，还要在获得真机能力的同时守住安全底线。为此，我们在</w:t>
      </w:r>
      <w:r>
        <w:rPr>
          <w:rFonts w:hint="eastAsia"/>
          <w:b w:val="0"/>
          <w:sz w:val="21"/>
        </w:rPr>
        <w:t>化学实验计划迭代、</w:t>
      </w:r>
      <w:r>
        <w:rPr>
          <w:b w:val="0"/>
          <w:sz w:val="21"/>
        </w:rPr>
        <w:t>Suzuk–Miyaura偶联反应条件优化和化学模型安全评估</w:t>
      </w:r>
      <w:r>
        <w:rPr>
          <w:rFonts w:hint="eastAsia"/>
          <w:b w:val="0"/>
          <w:sz w:val="21"/>
        </w:rPr>
        <w:t>等应用</w:t>
      </w:r>
      <w:r>
        <w:rPr>
          <w:b w:val="0"/>
          <w:sz w:val="21"/>
        </w:rPr>
        <w:t>场景中完成了系统部署与应用</w:t>
      </w:r>
      <w:r>
        <w:rPr>
          <w:rFonts w:hint="eastAsia"/>
          <w:b w:val="0"/>
          <w:sz w:val="21"/>
        </w:rPr>
        <w:t>，</w:t>
      </w:r>
      <w:r>
        <w:rPr>
          <w:b w:val="0"/>
          <w:sz w:val="21"/>
        </w:rPr>
        <w:t>验证了系统在低数据、有限预算约束下的科研效率，</w:t>
      </w:r>
      <w:r>
        <w:rPr>
          <w:rFonts w:hint="eastAsia"/>
          <w:b w:val="0"/>
          <w:sz w:val="21"/>
        </w:rPr>
        <w:t>并</w:t>
      </w:r>
      <w:r>
        <w:rPr>
          <w:b w:val="0"/>
          <w:sz w:val="21"/>
        </w:rPr>
        <w:t>检验了系统在驱动真实实验前的安全可靠性。以下展示具体应用结果。</w:t>
      </w:r>
    </w:p>
    <w:p>
      <w:pPr>
        <w:pStyle w:val="000003"/>
        <w:pBdr/>
        <w:ind/>
        <w:rPr>
          <w:rFonts w:hint="eastAsia"/>
          <w:color w:val="000000"/>
        </w:rPr>
      </w:pPr>
      <w:bookmarkStart w:id="63" w:name="_Tocq155oo"/>
      <w:r>
        <w:rPr>
          <w:color w:val="000000"/>
        </w:rPr>
        <w:t xml:space="preserve">4.1 </w:t>
      </w:r>
      <w:r>
        <w:rPr>
          <w:rFonts w:hint="eastAsia"/>
          <w:color w:val="000000"/>
        </w:rPr>
        <w:t>化学实验计划迭代</w:t>
      </w:r>
      <w:bookmarkEnd w:id="63"/>
    </w:p>
    <w:p>
      <w:pPr>
        <w:pStyle w:val="eti4qs"/>
        <w:numPr/>
        <w:snapToGrid w:val="0"/>
        <w:spacing w:before="0" w:after="0" w:line="240"/>
        <w:ind w:firstLineChars="200"/>
        <w:rPr>
          <w:b w:val="0"/>
          <w:sz w:val="21"/>
        </w:rPr>
      </w:pPr>
      <w:r>
        <w:rPr>
          <w:b w:val="0"/>
          <w:sz w:val="21"/>
        </w:rPr>
        <w:t>新颜色颜料发现是官方125道科学问题中的代表性化学案例。高耐候、低能耗和具备隔热功能的新型颜料可用于建筑涂层、汽车、塑料、印刷和文物保护，直接关联产品耐久性、夏季降温能耗与环境负荷。案例的科学难点是区分“发现新颜料材料”和“创造新颜色类别”：Mn/Cr氧化物有望在保持可见光红色色相的同时提高近红外反射，但局部配位、缺陷态、电子跃迁和粉体散射相互耦合，传统经验筛选难以形成可迁移的设计规则。</w:t>
      </w:r>
    </w:p>
    <w:p>
      <w:pPr>
        <w:pStyle w:val="eti4qs"/>
        <w:numPr/>
        <w:snapToGrid w:val="0"/>
        <w:spacing w:before="0" w:after="0" w:line="240"/>
        <w:ind w:firstLineChars="200"/>
        <w:rPr>
          <w:b w:val="0"/>
          <w:sz w:val="21"/>
        </w:rPr>
      </w:pPr>
      <w:r>
        <w:rPr>
          <w:b w:val="0"/>
          <w:sz w:val="21"/>
        </w:rPr>
        <w:t>启真Scientist先将科学难点转化为检索任务，再沿“证据组织—启发筛选—假设生成—计划验证”路径逐步收敛，迭代地生成化学实验计划</w:t>
      </w:r>
      <w:r>
        <w:rPr>
          <w:rFonts w:hint="eastAsia"/>
          <w:b w:val="0"/>
          <w:sz w:val="21"/>
        </w:rPr>
        <w:t>：</w:t>
      </w:r>
    </w:p>
    <w:p>
      <w:pPr>
        <w:pStyle w:val="eti4qs"/>
        <w:numPr/>
        <w:snapToGrid w:val="0"/>
        <w:spacing w:before="0" w:after="0" w:line="240"/>
        <w:ind w:firstLineChars="200"/>
        <w:rPr>
          <w:b w:val="0"/>
          <w:sz w:val="21"/>
        </w:rPr>
      </w:pPr>
      <w:r>
        <w:rPr>
          <w:b w:val="0"/>
          <w:sz w:val="21"/>
        </w:rPr>
        <w:t>（1）问题规范化。 将“是否还能发现新的颜色颜料”细化为新颜料材料、可见光色纯度、近红外反射和结构—性能关系，形成研究问题和关键词字段。</w:t>
      </w:r>
    </w:p>
    <w:p>
      <w:pPr>
        <w:pStyle w:val="eti4qs"/>
        <w:numPr/>
        <w:snapToGrid w:val="0"/>
        <w:spacing w:before="0" w:after="0" w:line="240"/>
        <w:ind w:firstLineChars="200"/>
        <w:rPr>
          <w:b w:val="0"/>
          <w:sz w:val="21"/>
        </w:rPr>
      </w:pPr>
      <w:r>
        <w:rPr>
          <w:b w:val="0"/>
          <w:sz w:val="21"/>
        </w:rPr>
        <w:t>（2）初始检索。 围绕YInMn蓝与新无机颜料、高通量无机颜料搜索、带隙与光吸收筛选、过渡金属氧化物固相合成、三元/四元氧化物组合空间、稳定无机化合物机器学习、偶然发现、耐久颜料晶体化学规则等8类关键词开展检索，获取4篇种子论文，覆盖新颜料发现、氧化物光学性质和组合化学。</w:t>
      </w:r>
    </w:p>
    <w:p>
      <w:pPr>
        <w:pStyle w:val="eti4qs"/>
        <w:numPr/>
        <w:snapToGrid w:val="0"/>
        <w:spacing w:before="0" w:after="0" w:line="240"/>
        <w:ind w:firstLineChars="200"/>
        <w:rPr>
          <w:b w:val="0"/>
          <w:sz w:val="21"/>
        </w:rPr>
      </w:pPr>
      <w:r>
        <w:rPr>
          <w:b w:val="0"/>
          <w:sz w:val="21"/>
        </w:rPr>
        <w:t>（3）证据扩展。 沿种子论文的参考文献和被引关系进一步扩展，得到21篇关联论文，并生成约4万字符的序列化证据图和约2万字符的研究趋势摘要。</w:t>
      </w:r>
    </w:p>
    <w:p>
      <w:pPr>
        <w:pStyle w:val="eti4qs"/>
        <w:numPr/>
        <w:snapToGrid w:val="0"/>
        <w:spacing w:before="0" w:after="0" w:line="240"/>
        <w:ind w:firstLineChars="200"/>
        <w:rPr>
          <w:b w:val="0"/>
          <w:sz w:val="21"/>
        </w:rPr>
      </w:pPr>
      <w:r>
        <w:rPr>
          <w:b w:val="0"/>
          <w:sz w:val="21"/>
        </w:rPr>
        <w:t>（4）缺口抽取。 从已有证据中识别出“缺少同时解释局部配位、缺陷态、电子跃迁、粉体散射与近红外损失的预测框架”这一关键科学缺口，进一步形成研究对象、关键关系、研究瓶颈和候选机制。</w:t>
      </w:r>
    </w:p>
    <w:p>
      <w:pPr>
        <w:pStyle w:val="eti4qs"/>
        <w:numPr/>
        <w:pBdr>
          <w:bottom/>
        </w:pBdr>
        <w:snapToGrid w:val="0"/>
        <w:spacing w:before="0" w:after="0" w:line="240"/>
        <w:ind w:firstLineChars="200"/>
        <w:rPr>
          <w:b w:val="0"/>
          <w:sz w:val="21"/>
        </w:rPr>
      </w:pPr>
      <w:r>
        <w:rPr>
          <w:b w:val="0"/>
          <w:sz w:val="21"/>
        </w:rPr>
        <w:t>（5）启发筛选。 从5个候选启发中选出“数据高效化学预测的隐藏表征”和“机器学习结合计算化学”两项关键启发，进一步形成材料代理模型与机理描述符相结合的研究方案。</w:t>
      </w:r>
    </w:p>
    <w:p>
      <w:pPr>
        <w:pStyle w:val="eti4qs"/>
        <w:numPr/>
        <w:pBdr/>
        <w:snapToGrid w:val="0"/>
        <w:spacing w:before="0" w:after="0" w:line="240"/>
        <w:ind w:firstLineChars="200"/>
        <w:rPr>
          <w:b w:val="0"/>
          <w:sz w:val="21"/>
        </w:rPr>
      </w:pPr>
      <w:r>
        <w:rPr>
          <w:b w:val="0"/>
          <w:sz w:val="21"/>
        </w:rPr>
        <w:t>表</w:t>
      </w:r>
      <w:r>
        <w:rPr>
          <w:rFonts w:hint="eastAsia"/>
          <w:b w:val="0"/>
          <w:sz w:val="21"/>
        </w:rPr>
        <w:t>4.1</w:t>
      </w:r>
      <w:r>
        <w:rPr>
          <w:b w:val="0"/>
          <w:sz w:val="21"/>
        </w:rPr>
        <w:t>展示三轮假设如何依据评价反馈逐步修订</w:t>
      </w:r>
      <w:r>
        <w:rPr/>
        <w:t>。</w:t>
      </w:r>
      <w:r>
        <w:rPr>
          <w:b w:val="0"/>
          <w:sz w:val="21"/>
        </w:rPr>
        <w:t>第一轮首先提出“缺陷热力学窗口”假设，并识别出机理变量过多、显式描述符难以充分表征光学损失的问题；第二轮进一步引入缺陷—光学迁移学习框架，并通过通道重构、形貌与杂相控制等手段检验隐藏表征是否真正编码缺陷机制；第三轮则将假设收敛为可直接比较验证的潜在缺陷—光学代理模型</w:t>
      </w:r>
      <w:r>
        <w:rPr>
          <w:rFonts w:hint="eastAsia"/>
          <w:b w:val="0"/>
          <w:sz w:val="21"/>
        </w:rPr>
        <w:t>。</w:t>
      </w:r>
      <w:r>
        <w:rPr>
          <w:b w:val="0"/>
          <w:sz w:val="21"/>
        </w:rPr>
        <w:t>整个过程体现了系统从初始科学构想到问题诊断、机制约束和可检验实验</w:t>
      </w:r>
      <w:r>
        <w:rPr>
          <w:rFonts w:hint="eastAsia"/>
          <w:b w:val="0"/>
          <w:sz w:val="21"/>
        </w:rPr>
        <w:t>的</w:t>
      </w:r>
      <w:r>
        <w:rPr>
          <w:b w:val="0"/>
          <w:sz w:val="21"/>
        </w:rPr>
        <w:t>收敛。</w:t>
      </w:r>
    </w:p>
    <w:p>
      <w:pPr>
        <w:pStyle w:val="000001"/>
        <w:numPr/>
        <w:snapToGrid w:val="0"/>
        <w:spacing w:before="0" w:after="0" w:line="240"/>
        <w:ind w:firstLineChars="200"/>
        <w:rPr>
          <w:b w:val="0"/>
          <w:sz w:val="21"/>
        </w:rPr>
      </w:pPr>
    </w:p>
    <w:tbl>
      <w:tblPr>
        <w:tblStyle w:val="000015"/>
        <w:tblBorders>
          <w:top w:val="single" w:color="000000" w:sz="12"/>
          <w:left w:val="nil" w:color="auto" w:sz="0"/>
          <w:bottom w:val="single" w:color="000000" w:sz="12"/>
          <w:right w:val="nil" w:color="auto" w:sz="0"/>
          <w:insideH w:val="nil" w:color="auto" w:sz="0"/>
          <w:insideV w:val="nil" w:color="auto" w:sz="0"/>
        </w:tblBorders>
        <w:tblLayout w:type="fixed"/>
        <w:tblLook w:firstRow="1" w:lastRow="0" w:firstColumn="1" w:lastColumn="0" w:noHBand="0" w:noVBand="1"/>
      </w:tblPr>
      <w:tblGrid>
        <w:gridCol w:w="2070"/>
        <w:gridCol w:w="2070"/>
        <w:gridCol w:w="2070"/>
        <w:gridCol w:w="2070"/>
      </w:tblGrid>
      <w:tr>
        <w:trPr>
          <w:wBefore/>
          <w:trHeight/>
        </w:trPr>
        <w:tc>
          <w:tcPr>
            <w:tcW w:w="2070" w:type="dxa"/>
            <w:tcBorders>
              <w:bottom w:val="single" w:color="000000" w:sz="6"/>
              <w:tl2br w:val="nil" w:color="auto" w:sz="0"/>
              <w:tr2bl w:val="nil" w:color="auto" w:sz="0"/>
            </w:tcBorders>
          </w:tcPr>
          <w:p>
            <w:pPr>
              <w:numPr/>
              <w:pBdr>
                <w:bottom/>
              </w:pBdr>
              <w:snapToGrid w:val="1"/>
              <w:spacing w:before="0" w:after="0" w:line="240"/>
              <w:ind/>
              <w:jc w:val="left"/>
              <w:rPr>
                <w:rFonts w:ascii="Open Sans" w:hAnsi="Open Sans" w:eastAsia="黑体" w:cs="Open Sans"/>
                <w:b w:val="1"/>
                <w:i w:val="0"/>
                <w:strike w:val="0"/>
                <w:color w:val="000000"/>
                <w:spacing w:val="0"/>
                <w:sz w:val="21"/>
                <w:u w:val="none"/>
              </w:rPr>
            </w:pPr>
            <w:r>
              <w:rPr>
                <w:rFonts w:ascii="Open Sans" w:hAnsi="Open Sans" w:eastAsia="黑体" w:cs="Open Sans"/>
                <w:b w:val="1"/>
                <w:i w:val="0"/>
                <w:strike w:val="0"/>
                <w:color w:val="000000"/>
                <w:spacing w:val="0"/>
                <w:sz w:val="21"/>
                <w:u w:val="none"/>
              </w:rPr>
              <w:t>轮次</w:t>
            </w:r>
          </w:p>
        </w:tc>
        <w:tc>
          <w:tcPr>
            <w:tcW w:w="2070" w:type="dxa"/>
            <w:tcBorders>
              <w:bottom w:val="single" w:color="000000" w:sz="6"/>
              <w:tl2br w:val="nil" w:color="auto" w:sz="0"/>
              <w:tr2bl w:val="nil" w:color="auto" w:sz="0"/>
            </w:tcBorders>
          </w:tcPr>
          <w:p>
            <w:pPr>
              <w:numPr/>
              <w:pBdr>
                <w:bottom/>
              </w:pBdr>
              <w:snapToGrid w:val="1"/>
              <w:spacing w:before="0" w:after="0" w:line="240"/>
              <w:ind/>
              <w:jc w:val="left"/>
              <w:rPr>
                <w:rFonts w:ascii="Open Sans" w:hAnsi="Open Sans" w:eastAsia="黑体" w:cs="Open Sans"/>
                <w:b w:val="1"/>
                <w:i w:val="0"/>
                <w:strike w:val="0"/>
                <w:color w:val="000000"/>
                <w:spacing w:val="0"/>
                <w:sz w:val="21"/>
                <w:u w:val="none"/>
              </w:rPr>
            </w:pPr>
            <w:r>
              <w:rPr>
                <w:rFonts w:ascii="Open Sans" w:hAnsi="Open Sans" w:eastAsia="黑体" w:cs="Open Sans"/>
                <w:b w:val="1"/>
                <w:i w:val="0"/>
                <w:strike w:val="0"/>
                <w:color w:val="000000"/>
                <w:spacing w:val="0"/>
                <w:sz w:val="21"/>
                <w:u w:val="none"/>
              </w:rPr>
              <w:t>生成的代表性假设</w:t>
            </w:r>
          </w:p>
        </w:tc>
        <w:tc>
          <w:tcPr>
            <w:tcW w:w="2070" w:type="dxa"/>
            <w:tcBorders>
              <w:bottom w:val="single" w:color="000000" w:sz="6"/>
              <w:tl2br w:val="nil" w:color="auto" w:sz="0"/>
              <w:tr2bl w:val="nil" w:color="auto" w:sz="0"/>
            </w:tcBorders>
          </w:tcPr>
          <w:p>
            <w:pPr>
              <w:numPr/>
              <w:pBdr>
                <w:bottom/>
              </w:pBdr>
              <w:snapToGrid w:val="1"/>
              <w:spacing w:before="0" w:after="0" w:line="240"/>
              <w:ind/>
              <w:jc w:val="left"/>
              <w:rPr>
                <w:rFonts w:ascii="Open Sans" w:hAnsi="Open Sans" w:eastAsia="黑体" w:cs="Open Sans"/>
                <w:b w:val="1"/>
                <w:i w:val="0"/>
                <w:strike w:val="0"/>
                <w:color w:val="000000"/>
                <w:spacing w:val="0"/>
                <w:sz w:val="21"/>
                <w:u w:val="none"/>
              </w:rPr>
            </w:pPr>
            <w:r>
              <w:rPr>
                <w:rFonts w:ascii="Open Sans" w:hAnsi="Open Sans" w:eastAsia="黑体" w:cs="Open Sans"/>
                <w:b w:val="1"/>
                <w:i w:val="0"/>
                <w:strike w:val="0"/>
                <w:color w:val="000000"/>
                <w:spacing w:val="0"/>
                <w:sz w:val="21"/>
                <w:u w:val="none"/>
              </w:rPr>
              <w:t>评价反馈</w:t>
            </w:r>
          </w:p>
        </w:tc>
        <w:tc>
          <w:tcPr>
            <w:tcW w:w="2070" w:type="dxa"/>
            <w:tcBorders>
              <w:bottom w:val="single" w:color="000000" w:sz="6"/>
              <w:tl2br w:val="nil" w:color="auto" w:sz="0"/>
              <w:tr2bl w:val="nil" w:color="auto" w:sz="0"/>
            </w:tcBorders>
          </w:tcPr>
          <w:p>
            <w:pPr>
              <w:numPr/>
              <w:pBdr>
                <w:bottom/>
              </w:pBdr>
              <w:snapToGrid w:val="1"/>
              <w:spacing w:before="0" w:after="0" w:line="240"/>
              <w:ind/>
              <w:jc w:val="left"/>
              <w:rPr>
                <w:rFonts w:ascii="Open Sans" w:hAnsi="Open Sans" w:eastAsia="黑体" w:cs="Open Sans"/>
                <w:b w:val="1"/>
                <w:i w:val="0"/>
                <w:strike w:val="0"/>
                <w:color w:val="000000"/>
                <w:spacing w:val="0"/>
                <w:sz w:val="21"/>
                <w:u w:val="none"/>
              </w:rPr>
            </w:pPr>
            <w:r>
              <w:rPr>
                <w:rFonts w:ascii="Open Sans" w:hAnsi="Open Sans" w:eastAsia="黑体" w:cs="Open Sans"/>
                <w:b w:val="1"/>
                <w:i w:val="0"/>
                <w:strike w:val="0"/>
                <w:color w:val="000000"/>
                <w:spacing w:val="0"/>
                <w:sz w:val="21"/>
                <w:u w:val="none"/>
              </w:rPr>
              <w:t>下一轮调整</w:t>
            </w:r>
          </w:p>
        </w:tc>
      </w:tr>
      <w:tr>
        <w:trPr>
          <w:wBefore/>
          <w:trHeight/>
        </w:trPr>
        <w:tc>
          <w:tcPr>
            <w:tcW w:w="2070" w:type="dxa"/>
            <w:tcBorders>
              <w:top w:val="single" w:color="000000" w:sz="6"/>
              <w:tl2br w:val="nil" w:color="auto" w:sz="0"/>
              <w:tr2bl w:val="nil" w:color="auto" w:sz="0"/>
            </w:tcBorders>
          </w:tcPr>
          <w:p>
            <w:pPr>
              <w:pStyle w:val="eti4qs"/>
              <w:numPr/>
              <w:snapToGrid w:val="0"/>
              <w:spacing w:before="0" w:after="0" w:line="240"/>
              <w:ind w:firstLineChars="200"/>
              <w:rPr>
                <w:b w:val="0"/>
                <w:sz w:val="21"/>
              </w:rPr>
            </w:pPr>
            <w:r>
              <w:rPr>
                <w:b w:val="0"/>
                <w:sz w:val="21"/>
              </w:rPr>
              <w:t>第1轮</w:t>
            </w:r>
          </w:p>
        </w:tc>
        <w:tc>
          <w:tcPr>
            <w:tcW w:w="2070" w:type="dxa"/>
            <w:tcBorders>
              <w:top w:val="single" w:color="000000" w:sz="6"/>
              <w:tl2br w:val="nil" w:color="auto" w:sz="0"/>
              <w:tr2bl w:val="nil" w:color="auto" w:sz="0"/>
            </w:tcBorders>
          </w:tcPr>
          <w:p>
            <w:pPr>
              <w:pStyle w:val="eti4qs"/>
              <w:numPr/>
              <w:snapToGrid w:val="0"/>
              <w:spacing w:before="0" w:after="0" w:line="240"/>
              <w:ind w:firstLineChars="0"/>
              <w:rPr>
                <w:b w:val="0"/>
                <w:sz w:val="21"/>
              </w:rPr>
            </w:pPr>
            <w:r>
              <w:rPr>
                <w:b w:val="0"/>
                <w:sz w:val="21"/>
              </w:rPr>
              <w:t>“缺陷热力学窗口”可指导畸变Mn4+/Cr3+ 氧化物获得高可见光色纯度和近红外反射。</w:t>
            </w:r>
          </w:p>
        </w:tc>
        <w:tc>
          <w:tcPr>
            <w:tcW w:w="2070" w:type="dxa"/>
            <w:tcBorders>
              <w:top w:val="single" w:color="000000" w:sz="6"/>
              <w:tl2br w:val="nil" w:color="auto" w:sz="0"/>
              <w:tr2bl w:val="nil" w:color="auto" w:sz="0"/>
            </w:tcBorders>
          </w:tcPr>
          <w:p>
            <w:pPr>
              <w:pStyle w:val="eti4qs"/>
              <w:numPr/>
              <w:snapToGrid w:val="0"/>
              <w:spacing w:before="0" w:after="0" w:line="240"/>
              <w:ind w:firstLineChars="0"/>
              <w:rPr>
                <w:b w:val="0"/>
                <w:sz w:val="21"/>
              </w:rPr>
            </w:pPr>
            <w:r>
              <w:rPr>
                <w:b w:val="0"/>
                <w:sz w:val="21"/>
              </w:rPr>
              <w:t>机理变量较多，难以直接由组成和显式描述符预测光学损失。</w:t>
            </w:r>
          </w:p>
        </w:tc>
        <w:tc>
          <w:tcPr>
            <w:tcW w:w="2070" w:type="dxa"/>
            <w:tcBorders>
              <w:top w:val="single" w:color="000000" w:sz="6"/>
              <w:tl2br w:val="nil" w:color="auto" w:sz="0"/>
              <w:tr2bl w:val="nil" w:color="auto" w:sz="0"/>
            </w:tcBorders>
          </w:tcPr>
          <w:p>
            <w:pPr>
              <w:pStyle w:val="eti4qs"/>
              <w:numPr/>
              <w:snapToGrid w:val="0"/>
              <w:spacing w:before="0" w:after="0" w:line="240"/>
              <w:ind w:firstLineChars="0"/>
              <w:rPr>
                <w:b w:val="0"/>
                <w:sz w:val="21"/>
              </w:rPr>
            </w:pPr>
            <w:r>
              <w:rPr>
                <w:b w:val="0"/>
                <w:sz w:val="21"/>
              </w:rPr>
              <w:t>引入缺陷—光学通道和数据高效隐藏表征。</w:t>
            </w:r>
          </w:p>
        </w:tc>
      </w:tr>
      <w:tr>
        <w:trPr>
          <w:wBefore/>
          <w:trHeight/>
        </w:trPr>
        <w:tc>
          <w:tcPr>
            <w:tcW w:w="2070" w:type="dxa"/>
            <w:tcBorders>
              <w:tl2br w:val="nil" w:color="auto" w:sz="0"/>
              <w:tr2bl w:val="nil" w:color="auto" w:sz="0"/>
            </w:tcBorders>
          </w:tcPr>
          <w:p>
            <w:pPr>
              <w:pStyle w:val="eti4qs"/>
              <w:numPr/>
              <w:snapToGrid w:val="0"/>
              <w:spacing w:before="0" w:after="0" w:line="240"/>
              <w:ind w:firstLineChars="200"/>
              <w:rPr>
                <w:b w:val="0"/>
                <w:sz w:val="21"/>
              </w:rPr>
            </w:pPr>
            <w:r>
              <w:rPr>
                <w:b w:val="0"/>
                <w:sz w:val="21"/>
              </w:rPr>
              <w:t>第2轮</w:t>
            </w:r>
          </w:p>
        </w:tc>
        <w:tc>
          <w:tcPr>
            <w:tcW w:w="2070" w:type="dxa"/>
            <w:tcBorders>
              <w:tl2br w:val="nil" w:color="auto" w:sz="0"/>
              <w:tr2bl w:val="nil" w:color="auto" w:sz="0"/>
            </w:tcBorders>
          </w:tcPr>
          <w:p>
            <w:pPr>
              <w:pStyle w:val="eti4qs"/>
              <w:numPr/>
              <w:snapToGrid w:val="0"/>
              <w:spacing w:before="0" w:after="0" w:line="240"/>
              <w:ind w:firstLineChars="0"/>
              <w:rPr>
                <w:b w:val="0"/>
                <w:sz w:val="21"/>
              </w:rPr>
            </w:pPr>
            <w:r>
              <w:rPr>
                <w:b w:val="0"/>
                <w:sz w:val="21"/>
              </w:rPr>
              <w:t>“缺陷—光学迁移学习”可由可解释缺陷通道预测红色色相稳定性和近红外反射。</w:t>
            </w:r>
          </w:p>
        </w:tc>
        <w:tc>
          <w:tcPr>
            <w:tcW w:w="2070" w:type="dxa"/>
            <w:tcBorders>
              <w:tl2br w:val="nil" w:color="auto" w:sz="0"/>
              <w:tr2bl w:val="nil" w:color="auto" w:sz="0"/>
            </w:tcBorders>
          </w:tcPr>
          <w:p>
            <w:pPr>
              <w:pStyle w:val="eti4qs"/>
              <w:numPr/>
              <w:snapToGrid w:val="0"/>
              <w:spacing w:before="0" w:after="0" w:line="240"/>
              <w:ind w:firstLineChars="0"/>
              <w:rPr>
                <w:b w:val="0"/>
                <w:sz w:val="21"/>
              </w:rPr>
            </w:pPr>
            <w:r>
              <w:rPr>
                <w:b w:val="0"/>
                <w:sz w:val="21"/>
              </w:rPr>
              <w:t>需要证明隐藏表征确实编码缺陷机制，而非只记忆组成或粒径。</w:t>
            </w:r>
          </w:p>
        </w:tc>
        <w:tc>
          <w:tcPr>
            <w:tcW w:w="2070" w:type="dxa"/>
            <w:tcBorders>
              <w:tl2br w:val="nil" w:color="auto" w:sz="0"/>
              <w:tr2bl w:val="nil" w:color="auto" w:sz="0"/>
            </w:tcBorders>
          </w:tcPr>
          <w:p>
            <w:pPr>
              <w:pStyle w:val="eti4qs"/>
              <w:numPr/>
              <w:snapToGrid w:val="0"/>
              <w:spacing w:before="0" w:after="0" w:line="240"/>
              <w:ind w:firstLineChars="0"/>
              <w:rPr>
                <w:b w:val="0"/>
                <w:sz w:val="21"/>
              </w:rPr>
            </w:pPr>
            <w:r>
              <w:rPr>
                <w:b w:val="0"/>
                <w:sz w:val="21"/>
              </w:rPr>
              <w:t>设置通道重构任务、形貌/杂相控制和随机表征对照。</w:t>
            </w:r>
          </w:p>
        </w:tc>
      </w:tr>
      <w:tr>
        <w:trPr>
          <w:wBefore/>
          <w:trHeight/>
        </w:trPr>
        <w:tc>
          <w:tcPr>
            <w:tcW w:w="2070" w:type="dxa"/>
            <w:tcBorders>
              <w:tl2br w:val="nil" w:color="auto" w:sz="0"/>
              <w:tr2bl w:val="nil" w:color="auto" w:sz="0"/>
            </w:tcBorders>
          </w:tcPr>
          <w:p>
            <w:pPr>
              <w:pStyle w:val="eti4qs"/>
              <w:numPr/>
              <w:snapToGrid w:val="0"/>
              <w:spacing w:before="0" w:after="0" w:line="240"/>
              <w:ind w:firstLineChars="200"/>
              <w:rPr>
                <w:b w:val="0"/>
                <w:sz w:val="21"/>
              </w:rPr>
            </w:pPr>
            <w:r>
              <w:rPr>
                <w:b w:val="0"/>
                <w:sz w:val="21"/>
              </w:rPr>
              <w:t>第3轮</w:t>
            </w:r>
          </w:p>
        </w:tc>
        <w:tc>
          <w:tcPr>
            <w:tcW w:w="2070" w:type="dxa"/>
            <w:tcBorders>
              <w:tl2br w:val="nil" w:color="auto" w:sz="0"/>
              <w:tr2bl w:val="nil" w:color="auto" w:sz="0"/>
            </w:tcBorders>
          </w:tcPr>
          <w:p>
            <w:pPr>
              <w:pStyle w:val="eti4qs"/>
              <w:numPr/>
              <w:snapToGrid w:val="0"/>
              <w:spacing w:before="0" w:after="0" w:line="240"/>
              <w:ind w:firstLineChars="0"/>
              <w:rPr>
                <w:b w:val="0"/>
                <w:sz w:val="21"/>
              </w:rPr>
            </w:pPr>
            <w:r>
              <w:rPr>
                <w:b w:val="0"/>
                <w:sz w:val="21"/>
              </w:rPr>
              <w:t>“潜在缺陷—光学代理模型”在固定色相窗口内，较组成模型和显式描述符模型更准确预测缺陷引起的近红外反射变化。</w:t>
            </w:r>
          </w:p>
        </w:tc>
        <w:tc>
          <w:tcPr>
            <w:tcW w:w="2070" w:type="dxa"/>
            <w:tcBorders>
              <w:tl2br w:val="nil" w:color="auto" w:sz="0"/>
              <w:tr2bl w:val="nil" w:color="auto" w:sz="0"/>
            </w:tcBorders>
          </w:tcPr>
          <w:p>
            <w:pPr>
              <w:pStyle w:val="eti4qs"/>
              <w:numPr/>
              <w:snapToGrid w:val="0"/>
              <w:spacing w:before="0" w:after="0" w:line="240"/>
              <w:ind w:firstLineChars="0"/>
              <w:rPr>
                <w:b w:val="0"/>
                <w:sz w:val="21"/>
              </w:rPr>
            </w:pPr>
            <w:r>
              <w:rPr>
                <w:b w:val="0"/>
                <w:sz w:val="21"/>
              </w:rPr>
              <w:t>新颖性等级为中等，假设具备可检验性。</w:t>
            </w:r>
          </w:p>
        </w:tc>
        <w:tc>
          <w:tcPr>
            <w:tcW w:w="2070" w:type="dxa"/>
            <w:tcBorders>
              <w:tl2br w:val="nil" w:color="auto" w:sz="0"/>
              <w:tr2bl w:val="nil" w:color="auto" w:sz="0"/>
            </w:tcBorders>
          </w:tcPr>
          <w:p>
            <w:pPr>
              <w:pStyle w:val="eti4qs"/>
              <w:numPr/>
              <w:snapToGrid w:val="0"/>
              <w:spacing w:before="0" w:after="0" w:line="240"/>
              <w:ind w:firstLineChars="0"/>
              <w:rPr>
                <w:b w:val="0"/>
                <w:sz w:val="21"/>
              </w:rPr>
            </w:pPr>
            <w:r>
              <w:rPr>
                <w:b w:val="0"/>
                <w:sz w:val="21"/>
              </w:rPr>
              <w:t>输出部分研究计划并进入候选颜料合成与光谱验证。</w:t>
            </w:r>
          </w:p>
        </w:tc>
      </w:tr>
    </w:tbl>
    <w:p>
      <w:pPr>
        <w:pStyle w:val="3mrkcm"/>
        <w:numPr/>
        <w:pBdr/>
        <w:ind/>
        <w:rPr/>
      </w:pPr>
      <w:r>
        <w:rPr/>
        <w:t>表</w:t>
      </w:r>
      <w:r>
        <w:rPr>
          <w:rFonts w:hint="eastAsia"/>
        </w:rPr>
        <w:t>4.1</w:t>
      </w:r>
      <w:r>
        <w:rPr/>
        <w:t xml:space="preserve">  新颜色颜料案例的三轮</w:t>
      </w:r>
      <w:r>
        <w:rPr>
          <w:rFonts w:hint="eastAsia"/>
        </w:rPr>
        <w:t>实验计划</w:t>
      </w:r>
      <w:r>
        <w:rPr/>
        <w:t>迭代</w:t>
      </w:r>
    </w:p>
    <w:p>
      <w:pPr>
        <w:pStyle w:val="eti4qs"/>
        <w:numPr/>
        <w:snapToGrid w:val="0"/>
        <w:spacing w:before="0" w:after="0" w:line="240"/>
        <w:ind w:firstLineChars="0"/>
        <w:rPr>
          <w:b w:val="0"/>
          <w:sz w:val="21"/>
        </w:rPr>
      </w:pPr>
    </w:p>
    <w:tbl>
      <w:tblPr>
        <w:tblStyle w:val="000015"/>
        <w:tblBorders>
          <w:top w:val="single" w:color="000000" w:sz="12"/>
          <w:left w:val="nil" w:color="auto" w:sz="0"/>
          <w:bottom w:val="single" w:color="000000" w:sz="12"/>
          <w:right w:val="nil" w:color="auto" w:sz="0"/>
          <w:insideH w:val="nil" w:color="auto" w:sz="0"/>
          <w:insideV w:val="nil" w:color="auto" w:sz="0"/>
        </w:tblBorders>
        <w:tblLayout w:type="fixed"/>
        <w:tblLook w:firstRow="1" w:lastRow="0" w:firstColumn="1" w:lastColumn="0" w:noHBand="0" w:noVBand="1"/>
      </w:tblPr>
      <w:tblGrid>
        <w:gridCol w:w="2760"/>
        <w:gridCol w:w="2760"/>
        <w:gridCol w:w="2760"/>
      </w:tblGrid>
      <w:tr>
        <w:trPr>
          <w:wBefore/>
          <w:trHeight/>
        </w:trPr>
        <w:tc>
          <w:tcPr>
            <w:tcW w:w="2760" w:type="dxa"/>
            <w:tcBorders>
              <w:bottom w:val="single" w:color="000000" w:sz="6"/>
              <w:tl2br w:val="nil" w:color="auto" w:sz="0"/>
              <w:tr2bl w:val="nil" w:color="auto" w:sz="0"/>
            </w:tcBorders>
          </w:tcPr>
          <w:p>
            <w:pPr>
              <w:numPr/>
              <w:pBdr>
                <w:bottom/>
              </w:pBdr>
              <w:snapToGrid w:val="1"/>
              <w:spacing w:before="0" w:after="0" w:line="240"/>
              <w:ind/>
              <w:jc w:val="left"/>
              <w:rPr>
                <w:rFonts w:ascii="宋体" w:hAnsi="宋体" w:eastAsia="宋体" w:cs="宋体"/>
                <w:i w:val="0"/>
                <w:strike w:val="0"/>
                <w:color w:val="000000"/>
                <w:spacing w:val="0"/>
                <w:sz w:val="21"/>
                <w:u w:val="none"/>
              </w:rPr>
            </w:pPr>
            <w:r>
              <w:rPr>
                <w:rFonts w:ascii="宋体" w:hAnsi="宋体" w:eastAsia="宋体" w:cs="宋体"/>
                <w:i w:val="0"/>
                <w:strike w:val="0"/>
                <w:color w:val="000000"/>
                <w:spacing w:val="0"/>
                <w:sz w:val="21"/>
                <w:u w:val="none"/>
              </w:rPr>
              <w:t>研究计划环节</w:t>
            </w:r>
          </w:p>
        </w:tc>
        <w:tc>
          <w:tcPr>
            <w:tcW w:w="2760" w:type="dxa"/>
            <w:tcBorders>
              <w:bottom w:val="single" w:color="000000" w:sz="6"/>
              <w:tl2br w:val="nil" w:color="auto" w:sz="0"/>
              <w:tr2bl w:val="nil" w:color="auto" w:sz="0"/>
            </w:tcBorders>
          </w:tcPr>
          <w:p>
            <w:pPr>
              <w:numPr/>
              <w:pBdr>
                <w:bottom/>
              </w:pBdr>
              <w:snapToGrid w:val="1"/>
              <w:spacing w:before="0" w:after="0" w:line="240"/>
              <w:ind/>
              <w:jc w:val="left"/>
              <w:rPr>
                <w:rFonts w:ascii="宋体" w:hAnsi="宋体" w:eastAsia="宋体" w:cs="宋体"/>
                <w:i w:val="0"/>
                <w:strike w:val="0"/>
                <w:color w:val="000000"/>
                <w:spacing w:val="0"/>
                <w:sz w:val="21"/>
                <w:u w:val="none"/>
              </w:rPr>
            </w:pPr>
            <w:r>
              <w:rPr>
                <w:rFonts w:ascii="宋体" w:hAnsi="宋体" w:eastAsia="宋体" w:cs="宋体"/>
                <w:i w:val="0"/>
                <w:strike w:val="0"/>
                <w:color w:val="000000"/>
                <w:spacing w:val="0"/>
                <w:sz w:val="21"/>
                <w:u w:val="none"/>
              </w:rPr>
              <w:t>实际内容</w:t>
            </w:r>
          </w:p>
        </w:tc>
        <w:tc>
          <w:tcPr>
            <w:tcW w:w="2760" w:type="dxa"/>
            <w:tcBorders>
              <w:bottom w:val="single" w:color="000000" w:sz="6"/>
              <w:tl2br w:val="nil" w:color="auto" w:sz="0"/>
              <w:tr2bl w:val="nil" w:color="auto" w:sz="0"/>
            </w:tcBorders>
          </w:tcPr>
          <w:p>
            <w:pPr>
              <w:numPr/>
              <w:pBdr>
                <w:bottom/>
              </w:pBdr>
              <w:snapToGrid w:val="1"/>
              <w:spacing w:before="0" w:after="0" w:line="240"/>
              <w:ind/>
              <w:jc w:val="left"/>
              <w:rPr>
                <w:rFonts w:ascii="宋体" w:hAnsi="宋体" w:eastAsia="宋体" w:cs="宋体"/>
                <w:i w:val="0"/>
                <w:strike w:val="0"/>
                <w:color w:val="000000"/>
                <w:spacing w:val="0"/>
                <w:sz w:val="21"/>
                <w:u w:val="none"/>
              </w:rPr>
            </w:pPr>
            <w:r>
              <w:rPr>
                <w:rFonts w:ascii="宋体" w:hAnsi="宋体" w:eastAsia="宋体" w:cs="宋体"/>
                <w:i w:val="0"/>
                <w:strike w:val="0"/>
                <w:color w:val="000000"/>
                <w:spacing w:val="0"/>
                <w:sz w:val="21"/>
                <w:u w:val="none"/>
              </w:rPr>
              <w:t>结果如何影响后续处理</w:t>
            </w:r>
          </w:p>
        </w:tc>
      </w:tr>
      <w:tr>
        <w:trPr>
          <w:wBefore/>
          <w:trHeight/>
        </w:trPr>
        <w:tc>
          <w:tcPr>
            <w:tcW w:w="2760" w:type="dxa"/>
            <w:tcBorders>
              <w:top w:val="single" w:color="000000" w:sz="6"/>
              <w:tl2br w:val="nil" w:color="auto" w:sz="0"/>
              <w:tr2bl w:val="nil" w:color="auto" w:sz="0"/>
            </w:tcBorders>
          </w:tcPr>
          <w:p>
            <w:pPr>
              <w:pStyle w:val="eti4qs"/>
              <w:numPr/>
              <w:snapToGrid w:val="0"/>
              <w:spacing w:before="0" w:after="0" w:line="240"/>
              <w:ind w:firstLineChars="200"/>
              <w:rPr>
                <w:b w:val="0"/>
                <w:sz w:val="21"/>
              </w:rPr>
            </w:pPr>
            <w:r>
              <w:rPr>
                <w:b w:val="0"/>
                <w:sz w:val="21"/>
              </w:rPr>
              <w:t>明确预测</w:t>
            </w:r>
          </w:p>
        </w:tc>
        <w:tc>
          <w:tcPr>
            <w:tcW w:w="2760" w:type="dxa"/>
            <w:tcBorders>
              <w:top w:val="single" w:color="000000" w:sz="6"/>
              <w:tl2br w:val="nil" w:color="auto" w:sz="0"/>
              <w:tr2bl w:val="nil" w:color="auto" w:sz="0"/>
            </w:tcBorders>
          </w:tcPr>
          <w:p>
            <w:pPr>
              <w:pStyle w:val="eti4qs"/>
              <w:numPr/>
              <w:snapToGrid w:val="0"/>
              <w:spacing w:before="0" w:after="0" w:line="240"/>
              <w:ind w:firstLineChars="0"/>
              <w:rPr>
                <w:b w:val="0"/>
                <w:sz w:val="21"/>
              </w:rPr>
            </w:pPr>
            <w:r>
              <w:rPr>
                <w:b w:val="0"/>
                <w:sz w:val="21"/>
              </w:rPr>
              <w:t>固定色相和形貌后，缺陷损失通道的隐藏表征能预测近红外反射变化，并优于组成模型。</w:t>
            </w:r>
          </w:p>
        </w:tc>
        <w:tc>
          <w:tcPr>
            <w:tcW w:w="2760" w:type="dxa"/>
            <w:tcBorders>
              <w:top w:val="single" w:color="000000" w:sz="6"/>
              <w:tl2br w:val="nil" w:color="auto" w:sz="0"/>
              <w:tr2bl w:val="nil" w:color="auto" w:sz="0"/>
            </w:tcBorders>
          </w:tcPr>
          <w:p>
            <w:pPr>
              <w:pStyle w:val="eti4qs"/>
              <w:numPr/>
              <w:snapToGrid w:val="0"/>
              <w:spacing w:before="0" w:after="0" w:line="240"/>
              <w:ind w:firstLineChars="0"/>
              <w:rPr>
                <w:b w:val="0"/>
                <w:sz w:val="21"/>
              </w:rPr>
            </w:pPr>
            <w:r>
              <w:rPr>
                <w:b w:val="0"/>
                <w:sz w:val="21"/>
              </w:rPr>
              <w:t>若预测误差无改善，回退到缺陷通道定义并检查表征是否受散射或杂相支配。</w:t>
            </w:r>
          </w:p>
        </w:tc>
      </w:tr>
      <w:tr>
        <w:trPr>
          <w:wBefore/>
          <w:trHeight/>
        </w:trPr>
        <w:tc>
          <w:tcPr>
            <w:tcW w:w="2760" w:type="dxa"/>
            <w:tcBorders>
              <w:tl2br w:val="nil" w:color="auto" w:sz="0"/>
              <w:tr2bl w:val="nil" w:color="auto" w:sz="0"/>
            </w:tcBorders>
          </w:tcPr>
          <w:p>
            <w:pPr>
              <w:pStyle w:val="eti4qs"/>
              <w:numPr/>
              <w:snapToGrid w:val="0"/>
              <w:spacing w:before="0" w:after="0" w:line="240"/>
              <w:ind w:firstLineChars="200"/>
              <w:rPr>
                <w:b w:val="0"/>
                <w:sz w:val="21"/>
              </w:rPr>
            </w:pPr>
            <w:r>
              <w:rPr>
                <w:b w:val="0"/>
                <w:sz w:val="21"/>
              </w:rPr>
              <w:t>确定数据与条件</w:t>
            </w:r>
          </w:p>
        </w:tc>
        <w:tc>
          <w:tcPr>
            <w:tcW w:w="2760" w:type="dxa"/>
            <w:tcBorders>
              <w:tl2br w:val="nil" w:color="auto" w:sz="0"/>
              <w:tr2bl w:val="nil" w:color="auto" w:sz="0"/>
            </w:tcBorders>
          </w:tcPr>
          <w:p>
            <w:pPr>
              <w:pStyle w:val="eti4qs"/>
              <w:numPr/>
              <w:snapToGrid w:val="0"/>
              <w:spacing w:before="0" w:after="0" w:line="240"/>
              <w:ind w:firstLineChars="0"/>
              <w:rPr>
                <w:b w:val="0"/>
                <w:sz w:val="21"/>
              </w:rPr>
            </w:pPr>
            <w:r>
              <w:rPr>
                <w:b w:val="0"/>
                <w:sz w:val="21"/>
              </w:rPr>
              <w:t>以 Li2MnO3 等红色氧化物为宿主，在不同氧分压下退火改变氧空位和 Mn3+/Mn4+ 比；记录 XPS/XAS/EPR、漫反射光谱、CIELAB 色相、粒径和物相。</w:t>
            </w:r>
          </w:p>
        </w:tc>
        <w:tc>
          <w:tcPr>
            <w:tcW w:w="2760" w:type="dxa"/>
            <w:tcBorders>
              <w:tl2br w:val="nil" w:color="auto" w:sz="0"/>
              <w:tr2bl w:val="nil" w:color="auto" w:sz="0"/>
            </w:tcBorders>
          </w:tcPr>
          <w:p>
            <w:pPr>
              <w:pStyle w:val="eti4qs"/>
              <w:numPr/>
              <w:snapToGrid w:val="0"/>
              <w:spacing w:before="0" w:after="0" w:line="240"/>
              <w:ind w:firstLineChars="0"/>
              <w:rPr>
                <w:b w:val="0"/>
                <w:sz w:val="21"/>
              </w:rPr>
            </w:pPr>
            <w:r>
              <w:rPr>
                <w:b w:val="0"/>
                <w:sz w:val="21"/>
              </w:rPr>
              <w:t>数据不足补充同批次分样、形貌控制和相纯度对照。</w:t>
            </w:r>
          </w:p>
        </w:tc>
      </w:tr>
      <w:tr>
        <w:trPr>
          <w:wBefore/>
          <w:trHeight/>
        </w:trPr>
        <w:tc>
          <w:tcPr>
            <w:tcW w:w="2760" w:type="dxa"/>
            <w:tcBorders>
              <w:tl2br w:val="nil" w:color="auto" w:sz="0"/>
              <w:tr2bl w:val="nil" w:color="auto" w:sz="0"/>
            </w:tcBorders>
          </w:tcPr>
          <w:p>
            <w:pPr>
              <w:pStyle w:val="eti4qs"/>
              <w:numPr/>
              <w:snapToGrid w:val="0"/>
              <w:spacing w:before="0" w:after="0" w:line="240"/>
              <w:ind w:firstLineChars="200"/>
              <w:rPr>
                <w:b w:val="0"/>
                <w:sz w:val="21"/>
              </w:rPr>
            </w:pPr>
            <w:r>
              <w:rPr>
                <w:b w:val="0"/>
                <w:sz w:val="21"/>
              </w:rPr>
              <w:t>形成步骤与分析</w:t>
            </w:r>
          </w:p>
        </w:tc>
        <w:tc>
          <w:tcPr>
            <w:tcW w:w="2760" w:type="dxa"/>
            <w:tcBorders>
              <w:tl2br w:val="nil" w:color="auto" w:sz="0"/>
              <w:tr2bl w:val="nil" w:color="auto" w:sz="0"/>
            </w:tcBorders>
          </w:tcPr>
          <w:p>
            <w:pPr>
              <w:pStyle w:val="eti4qs"/>
              <w:numPr/>
              <w:snapToGrid w:val="0"/>
              <w:spacing w:before="0" w:after="0" w:line="240"/>
              <w:ind w:firstLineChars="0"/>
              <w:rPr>
                <w:b w:val="0"/>
                <w:sz w:val="21"/>
              </w:rPr>
            </w:pPr>
            <w:r>
              <w:rPr>
                <w:b w:val="0"/>
                <w:sz w:val="21"/>
              </w:rPr>
              <w:t>将漫反射转换为 Kubelka–Munk 吸收，分解 Mn4+ 跃迁、Mn3+/Mn4+ 电荷转移、氧空位极化子和近红外尾部等损失通道；训练通道重构代理模型并筛选候选材料。</w:t>
            </w:r>
          </w:p>
        </w:tc>
        <w:tc>
          <w:tcPr>
            <w:tcW w:w="2760" w:type="dxa"/>
            <w:tcBorders>
              <w:tl2br w:val="nil" w:color="auto" w:sz="0"/>
              <w:tr2bl w:val="nil" w:color="auto" w:sz="0"/>
            </w:tcBorders>
          </w:tcPr>
          <w:p>
            <w:pPr>
              <w:pStyle w:val="eti4qs"/>
              <w:numPr/>
              <w:snapToGrid w:val="0"/>
              <w:spacing w:before="0" w:after="0" w:line="240"/>
              <w:ind w:firstLineChars="0"/>
              <w:rPr>
                <w:b w:val="0"/>
                <w:sz w:val="21"/>
              </w:rPr>
            </w:pPr>
            <w:r>
              <w:rPr>
                <w:b w:val="0"/>
                <w:sz w:val="21"/>
              </w:rPr>
              <w:t>跨批次仍保持固定色相且近红外反射达到阈值时进入候选颜料清单。</w:t>
            </w:r>
          </w:p>
        </w:tc>
      </w:tr>
      <w:tr>
        <w:trPr>
          <w:wBefore/>
          <w:trHeight/>
        </w:trPr>
        <w:tc>
          <w:tcPr>
            <w:tcW w:w="2760" w:type="dxa"/>
            <w:tcBorders>
              <w:tl2br w:val="nil" w:color="auto" w:sz="0"/>
              <w:tr2bl w:val="nil" w:color="auto" w:sz="0"/>
            </w:tcBorders>
          </w:tcPr>
          <w:p>
            <w:pPr>
              <w:pStyle w:val="eti4qs"/>
              <w:numPr/>
              <w:snapToGrid w:val="0"/>
              <w:spacing w:before="0" w:after="0" w:line="240"/>
              <w:ind w:firstLineChars="200"/>
              <w:rPr>
                <w:b w:val="0"/>
                <w:sz w:val="21"/>
              </w:rPr>
            </w:pPr>
            <w:r>
              <w:rPr>
                <w:b w:val="0"/>
                <w:sz w:val="21"/>
              </w:rPr>
              <w:t>设置停止与回退</w:t>
            </w:r>
          </w:p>
        </w:tc>
        <w:tc>
          <w:tcPr>
            <w:tcW w:w="2760" w:type="dxa"/>
            <w:tcBorders>
              <w:tl2br w:val="nil" w:color="auto" w:sz="0"/>
              <w:tr2bl w:val="nil" w:color="auto" w:sz="0"/>
            </w:tcBorders>
          </w:tcPr>
          <w:p>
            <w:pPr>
              <w:pStyle w:val="eti4qs"/>
              <w:numPr/>
              <w:snapToGrid w:val="0"/>
              <w:spacing w:before="0" w:after="0" w:line="240"/>
              <w:ind w:firstLineChars="0"/>
              <w:rPr>
                <w:b w:val="0"/>
                <w:sz w:val="21"/>
              </w:rPr>
            </w:pPr>
            <w:r>
              <w:rPr>
                <w:b w:val="0"/>
                <w:sz w:val="21"/>
              </w:rPr>
              <w:t>若色相超出窗口、物相不纯、光学增益来自粒子散射，或模型超出机理适用域，则停止推荐并回退至材料库或补充证据。</w:t>
            </w:r>
          </w:p>
        </w:tc>
        <w:tc>
          <w:tcPr>
            <w:tcW w:w="2760" w:type="dxa"/>
            <w:tcBorders>
              <w:tl2br w:val="nil" w:color="auto" w:sz="0"/>
              <w:tr2bl w:val="nil" w:color="auto" w:sz="0"/>
            </w:tcBorders>
          </w:tcPr>
          <w:p>
            <w:pPr>
              <w:pStyle w:val="eti4qs"/>
              <w:numPr/>
              <w:snapToGrid w:val="0"/>
              <w:spacing w:before="0" w:after="0" w:line="240"/>
              <w:ind w:firstLineChars="0"/>
              <w:rPr>
                <w:b w:val="0"/>
                <w:sz w:val="21"/>
              </w:rPr>
            </w:pPr>
            <w:r>
              <w:rPr>
                <w:b w:val="0"/>
                <w:sz w:val="21"/>
              </w:rPr>
              <w:t>保留 step9_ideas.json、光谱拟合和评价记录，下一轮从失败原因修订模型。</w:t>
            </w:r>
          </w:p>
        </w:tc>
      </w:tr>
    </w:tbl>
    <w:p>
      <w:pPr>
        <w:pStyle w:val="3mrkcm"/>
        <w:numPr/>
        <w:pBdr>
          <w:bottom/>
        </w:pBdr>
        <w:ind/>
        <w:rPr/>
      </w:pPr>
      <w:r>
        <w:rPr/>
        <w:t>表</w:t>
      </w:r>
      <w:r>
        <w:rPr>
          <w:rFonts w:hint="eastAsia"/>
        </w:rPr>
        <w:t>4.2</w:t>
      </w:r>
      <w:r>
        <w:rPr/>
        <w:t xml:space="preserve">  新颜色颜料案例的研究计划与</w:t>
      </w:r>
      <w:r>
        <w:rPr>
          <w:rFonts w:hint="eastAsia"/>
        </w:rPr>
        <w:t>后续处理方案</w:t>
      </w:r>
    </w:p>
    <w:p>
      <w:pPr>
        <w:pStyle w:val="000001"/>
        <w:rPr/>
      </w:pPr>
    </w:p>
    <w:p>
      <w:pPr>
        <w:pStyle w:val="8wu08g"/>
        <w:ind/>
        <w:rPr/>
      </w:pPr>
      <w:bookmarkStart w:id="64" w:name="_Toccf7gqd"/>
      <w:bookmarkStart w:id="65" w:name="_Toct6iy7e"/>
      <w:r>
        <w:rPr>
          <w:rFonts w:hint="eastAsia"/>
        </w:rPr>
        <w:t>4</w:t>
      </w:r>
      <w:r>
        <w:rPr/>
        <w:t>.</w:t>
      </w:r>
      <w:r>
        <w:rPr>
          <w:rFonts w:hint="eastAsia"/>
        </w:rPr>
        <w:t>2</w:t>
      </w:r>
      <w:r>
        <w:rPr/>
        <w:t xml:space="preserve"> </w:t>
      </w:r>
      <w:bookmarkEnd w:id="64"/>
      <w:r>
        <w:rPr>
          <w:rFonts w:hint="eastAsia"/>
        </w:rPr>
        <w:t>化学真机实验迭代</w:t>
      </w:r>
      <w:bookmarkEnd w:id="65"/>
    </w:p>
    <w:p>
      <w:pPr>
        <w:pStyle w:val="eti4qs"/>
        <w:snapToGrid w:val="0"/>
        <w:spacing w:before="0" w:after="0" w:line="240"/>
        <w:ind w:firstLineChars="200"/>
        <w:rPr>
          <w:b w:val="0"/>
          <w:sz w:val="21"/>
        </w:rPr>
      </w:pPr>
      <w:r>
        <w:rPr>
          <w:b w:val="0"/>
          <w:sz w:val="21"/>
        </w:rPr>
        <w:t>Suzuki–Miyaura偶联反应是现代有机合成中最重要、应用最广泛的碳—碳键构建方法之一，尤其适用于芳基、杂芳基等结构单元的高效连接，在药物分子、功能材料、农用化学品和精细化学品合成中具有重要地位。许多具有生物活性或光电性能的复杂分子都包含联芳基、芳基—烯基等骨架，而Suzuki–Miyaura偶联能够在相对温和的条件下实现这些结构单元的模块化拼接，具有底物适用范围广、官能团兼容性较好、反应条件可调性强等特点。因此，如何高效寻找其最优反应条件，不仅关系到单个目标分子的合成效率，也直接影响后续放大制备、路线筛选和工艺开发，是化学合成自动化和智能优化中具有代表性的研究问题。</w:t>
      </w:r>
    </w:p>
    <w:p>
      <w:pPr>
        <w:pStyle w:val="eti4qs"/>
        <w:snapToGrid w:val="0"/>
        <w:spacing w:before="0" w:after="0" w:line="240"/>
        <w:ind w:firstLineChars="200"/>
        <w:rPr>
          <w:b w:val="0"/>
          <w:i w:val="0"/>
          <w:strike w:val="0"/>
          <w:color w:val="000000"/>
          <w:sz w:val="21"/>
          <w:u w:val="none"/>
        </w:rPr>
      </w:pPr>
      <w:r>
        <w:rPr>
          <w:b w:val="0"/>
          <w:sz w:val="21"/>
        </w:rPr>
        <w:t>该反应的产率通常受到底物结构、催化体系、配体、碱、溶剂、温度和投料比例等多类变量共同影响，即使每一类变量只包含有限选项，组合后也会迅速形成较大的实验空间。同时，不同变量之间存在明显耦合，例如某一配体可能只在特定碱或溶剂条件下表现良好，单独考察单因素往往难以获得全局最优条件。传统依赖经验和逐项筛选的方式需要较多实验次数，也容易在局部条件附近反复试探。对于此类问题，条件优化的目标不仅是最终找到一个高产率结果，更重要的是在有限实验预算内尽早识别高产率区域，并根据已有实验结果持续调整后续搜索方向，从而减少试剂消耗、设备占用和人工操作成本，同时为重复验证、条件稳健性分析和后续工艺选择保留足够实验预算。正因其兼具重要应用价值、复杂组合空间和明确可量化的实验反馈，Suzuki–Miyaura偶联反应也非常适合作为检验智能实验规划与闭环优化能力的典型任务</w:t>
      </w:r>
      <w:r>
        <w:rPr>
          <w:i w:val="0"/>
          <w:strike w:val="0"/>
          <w:color w:val="000000"/>
          <w:u w:val="none"/>
        </w:rPr>
        <w:t>。</w:t>
      </w:r>
    </w:p>
    <w:p>
      <w:pPr>
        <w:pStyle w:val="eti4qs"/>
        <w:snapToGrid w:val="0"/>
        <w:spacing w:before="0" w:after="0" w:line="240"/>
        <w:ind w:firstLineChars="200"/>
        <w:rPr>
          <w:b w:val="0"/>
          <w:sz w:val="21"/>
        </w:rPr>
      </w:pPr>
      <w:r>
        <w:rPr>
          <w:b w:val="0"/>
          <w:sz w:val="21"/>
        </w:rPr>
        <w:t>Suzuki–Miyaura偶联反应是药物分子、功能材料和精细化学品合成中常用的碳—碳键构建方法。反应产率受底物、配体、碱和溶剂等多类变量共同影响，有限选项组合后即可形成较大的实验空间，且变量之间存在明显耦合。对于此类问题，条件优化的关键不仅是获得高产率结果，还要在有限实验预算内尽早进入高产率区域，从而减少试剂消耗、设备占用和人工操作，并为后续复测和工艺选择保留足够预算。</w:t>
      </w:r>
    </w:p>
    <w:p>
      <w:pPr>
        <w:pStyle w:val="000004"/>
        <w:rPr/>
      </w:pPr>
      <w:bookmarkStart w:id="66" w:name="_Toc5tddpu"/>
      <w:bookmarkStart w:id="67" w:name="_Tocmq6lh6"/>
      <w:r>
        <w:rPr>
          <w:rFonts w:hint="eastAsia"/>
        </w:rPr>
        <w:t>4</w:t>
      </w:r>
      <w:r>
        <w:rPr/>
        <w:t>.</w:t>
      </w:r>
      <w:r>
        <w:rPr>
          <w:rFonts w:hint="eastAsia"/>
        </w:rPr>
        <w:t>2</w:t>
      </w:r>
      <w:r>
        <w:rPr/>
        <w:t>.1</w:t>
      </w:r>
      <w:r>
        <w:rPr>
          <w:rFonts w:hint="eastAsia"/>
        </w:rPr>
        <w:t xml:space="preserve"> </w:t>
      </w:r>
      <w:r>
        <w:rPr/>
        <w:t>方案与实验设置</w:t>
      </w:r>
      <w:bookmarkEnd w:id="66"/>
      <w:bookmarkEnd w:id="67"/>
    </w:p>
    <w:p>
      <w:pPr>
        <w:pStyle w:val="eti4qs"/>
        <w:snapToGrid w:val="0"/>
        <w:spacing w:before="0" w:after="0" w:line="240"/>
        <w:ind w:firstLineChars="200"/>
        <w:rPr>
          <w:b w:val="0"/>
          <w:sz w:val="21"/>
        </w:rPr>
      </w:pPr>
      <w:r>
        <w:rPr>
          <w:b w:val="0"/>
          <w:sz w:val="21"/>
        </w:rPr>
        <w:t>本项目构建启真Scientist闭环优化方案。SciAtlas为候选方向提供与反应类型、底物和条件变量相关的科研知识；系统依据已有实验结果对候选空间进行数值建模并生成候选短名单；Qwen结合历史产率、连续未改善轮数和候选覆盖情况选择下一组实验条件。实验结果返回系统后，模型更新当前判断并进入下一轮，形成“知识检索—候选生成—方案选择—实验反馈—条件修正”的连续闭环。SciAtlas不直接预测产率，而是为搜索方向调整提供知识依据；最终实验条件仍由受约束的候选空间和实时反馈共同确定。</w:t>
      </w:r>
    </w:p>
    <w:p>
      <w:pPr>
        <w:pStyle w:val="eti4qs"/>
        <w:pBdr>
          <w:bottom/>
        </w:pBdr>
        <w:snapToGrid w:val="0"/>
        <w:spacing w:before="0" w:after="0" w:line="360"/>
        <w:ind w:firstLineChars="200"/>
        <w:rPr/>
      </w:pPr>
    </w:p>
    <w:tbl>
      <w:tblPr>
        <w:tblStyle w:val="000015"/>
        <w:jc w:val="center"/>
        <w:tblInd w:w="0"/>
        <w:tblBorders>
          <w:top w:val="single" w:color="000000" w:sz="12"/>
          <w:left w:val="nil" w:color="auto" w:sz="0"/>
          <w:bottom w:val="single" w:color="000000" w:sz="12"/>
          <w:right w:val="nil" w:color="auto" w:sz="0"/>
          <w:insideH w:val="nil" w:color="auto" w:sz="0"/>
          <w:insideV w:val="nil" w:color="auto" w:sz="0"/>
        </w:tblBorders>
        <w:tblLayout w:type="fixed"/>
        <w:tblLook w:firstRow="0" w:lastRow="0" w:firstColumn="0" w:lastColumn="0" w:noHBand="1" w:noVBand="1"/>
      </w:tblPr>
      <w:tblGrid>
        <w:gridCol w:w="1506"/>
        <w:gridCol w:w="7476"/>
      </w:tblGrid>
      <w:tr>
        <w:trPr/>
        <w:tc>
          <w:tcPr>
            <w:tcW w:w="1506" w:type="dxa"/>
            <w:tcBorders>
              <w:bottom w:val="single" w:color="000000" w:sz="6"/>
              <w:tl2br w:val="nil" w:color="auto" w:sz="0"/>
              <w:tr2bl w:val="nil" w:color="auto" w:sz="0"/>
            </w:tcBorders>
          </w:tcPr>
          <w:p>
            <w:pPr>
              <w:numPr/>
              <w:pBdr>
                <w:bottom/>
              </w:pBdr>
              <w:snapToGrid w:val="1"/>
              <w:spacing w:before="0" w:after="0" w:line="240"/>
              <w:ind/>
              <w:jc w:val="left"/>
              <w:rPr>
                <w:rFonts w:eastAsia="黑体"/>
                <w:sz w:val="21"/>
              </w:rPr>
            </w:pPr>
            <w:r>
              <w:rPr>
                <w:rFonts w:ascii="Open Sans" w:hAnsi="Open Sans" w:eastAsia="黑体" w:cs="Open Sans"/>
                <w:b w:val="1"/>
                <w:i w:val="0"/>
                <w:strike w:val="0"/>
                <w:color w:val="000000"/>
                <w:spacing w:val="0"/>
                <w:sz w:val="21"/>
                <w:u w:val="none"/>
              </w:rPr>
              <w:t>实验设置</w:t>
            </w:r>
          </w:p>
        </w:tc>
        <w:tc>
          <w:tcPr>
            <w:tcW w:w="7476" w:type="dxa"/>
            <w:tcBorders>
              <w:bottom w:val="single" w:color="000000" w:sz="6"/>
              <w:tl2br w:val="nil" w:color="auto" w:sz="0"/>
              <w:tr2bl w:val="nil" w:color="auto" w:sz="0"/>
            </w:tcBorders>
          </w:tcPr>
          <w:p>
            <w:pPr>
              <w:numPr/>
              <w:pBdr>
                <w:bottom/>
              </w:pBdr>
              <w:snapToGrid w:val="1"/>
              <w:spacing w:before="0" w:after="0" w:line="240"/>
              <w:ind/>
              <w:jc w:val="center"/>
              <w:rPr>
                <w:rFonts w:eastAsia="黑体"/>
                <w:sz w:val="21"/>
              </w:rPr>
            </w:pPr>
            <w:r>
              <w:rPr>
                <w:rFonts w:ascii="Open Sans" w:hAnsi="Open Sans" w:eastAsia="黑体" w:cs="Open Sans"/>
                <w:b w:val="1"/>
                <w:i w:val="0"/>
                <w:strike w:val="0"/>
                <w:color w:val="000000"/>
                <w:spacing w:val="0"/>
                <w:sz w:val="21"/>
                <w:u w:val="none"/>
              </w:rPr>
              <w:t>具体内容</w:t>
            </w:r>
          </w:p>
        </w:tc>
      </w:tr>
      <w:tr>
        <w:trPr/>
        <w:tc>
          <w:tcPr>
            <w:tcW w:w="1506" w:type="dxa"/>
            <w:tcBorders>
              <w:top w:val="single" w:color="000000" w:sz="6"/>
              <w:tl2br w:val="nil" w:color="auto" w:sz="0"/>
              <w:tr2bl w:val="nil" w:color="auto" w:sz="0"/>
            </w:tcBorders>
          </w:tcPr>
          <w:p>
            <w:pPr>
              <w:pStyle w:val="eti4qs"/>
              <w:snapToGrid w:val="0"/>
              <w:spacing w:before="0" w:after="0" w:line="240"/>
              <w:ind w:firstLineChars="0"/>
              <w:rPr>
                <w:b w:val="0"/>
                <w:sz w:val="21"/>
              </w:rPr>
            </w:pPr>
            <w:r>
              <w:rPr>
                <w:b w:val="0"/>
                <w:sz w:val="21"/>
              </w:rPr>
              <w:t>反应任务</w:t>
            </w:r>
          </w:p>
        </w:tc>
        <w:tc>
          <w:tcPr>
            <w:tcW w:w="7476" w:type="dxa"/>
            <w:tcBorders>
              <w:top w:val="single" w:color="000000" w:sz="6"/>
              <w:tl2br w:val="nil" w:color="auto" w:sz="0"/>
              <w:tr2bl w:val="nil" w:color="auto" w:sz="0"/>
            </w:tcBorders>
          </w:tcPr>
          <w:p>
            <w:pPr>
              <w:pStyle w:val="eti4qs"/>
              <w:snapToGrid w:val="0"/>
              <w:spacing w:before="0" w:after="0" w:line="240"/>
              <w:ind w:firstLineChars="200"/>
              <w:rPr>
                <w:b w:val="0"/>
                <w:sz w:val="21"/>
              </w:rPr>
            </w:pPr>
            <w:r>
              <w:rPr>
                <w:b w:val="0"/>
                <w:sz w:val="21"/>
              </w:rPr>
              <w:t>Suzuki–Miyaura偶联反应条件优化</w:t>
            </w:r>
          </w:p>
        </w:tc>
      </w:tr>
      <w:tr>
        <w:trPr/>
        <w:tc>
          <w:tcPr>
            <w:tcW w:w="1506" w:type="dxa"/>
            <w:tcBorders>
              <w:tl2br w:val="nil" w:color="auto" w:sz="0"/>
              <w:tr2bl w:val="nil" w:color="auto" w:sz="0"/>
            </w:tcBorders>
          </w:tcPr>
          <w:p>
            <w:pPr>
              <w:pStyle w:val="eti4qs"/>
              <w:snapToGrid w:val="0"/>
              <w:spacing w:before="0" w:after="0" w:line="240"/>
              <w:ind w:firstLineChars="0"/>
              <w:rPr>
                <w:b w:val="0"/>
                <w:sz w:val="21"/>
              </w:rPr>
            </w:pPr>
            <w:r>
              <w:rPr>
                <w:b w:val="0"/>
                <w:sz w:val="21"/>
              </w:rPr>
              <w:t>初始数据</w:t>
            </w:r>
          </w:p>
        </w:tc>
        <w:tc>
          <w:tcPr>
            <w:tcW w:w="7476" w:type="dxa"/>
            <w:tcBorders>
              <w:tl2br w:val="nil" w:color="auto" w:sz="0"/>
              <w:tr2bl w:val="nil" w:color="auto" w:sz="0"/>
            </w:tcBorders>
          </w:tcPr>
          <w:p>
            <w:pPr>
              <w:pStyle w:val="eti4qs"/>
              <w:snapToGrid w:val="0"/>
              <w:spacing w:before="0" w:after="0" w:line="240"/>
              <w:ind w:firstLineChars="200"/>
              <w:rPr>
                <w:b w:val="0"/>
                <w:sz w:val="21"/>
              </w:rPr>
            </w:pPr>
            <w:r>
              <w:rPr>
                <w:b w:val="0"/>
                <w:sz w:val="21"/>
              </w:rPr>
              <w:t>29组实验，初始最佳产率71.51%</w:t>
            </w:r>
          </w:p>
        </w:tc>
      </w:tr>
      <w:tr>
        <w:trPr/>
        <w:tc>
          <w:tcPr>
            <w:tcW w:w="1506" w:type="dxa"/>
            <w:tcBorders>
              <w:tl2br w:val="nil" w:color="auto" w:sz="0"/>
              <w:tr2bl w:val="nil" w:color="auto" w:sz="0"/>
            </w:tcBorders>
          </w:tcPr>
          <w:p>
            <w:pPr>
              <w:pStyle w:val="eti4qs"/>
              <w:snapToGrid w:val="0"/>
              <w:spacing w:before="0" w:after="0" w:line="240"/>
              <w:ind w:firstLineChars="0"/>
              <w:rPr>
                <w:b w:val="0"/>
                <w:sz w:val="21"/>
              </w:rPr>
            </w:pPr>
            <w:r>
              <w:rPr>
                <w:b w:val="0"/>
                <w:sz w:val="21"/>
              </w:rPr>
              <w:t>优化预算</w:t>
            </w:r>
          </w:p>
        </w:tc>
        <w:tc>
          <w:tcPr>
            <w:tcW w:w="7476" w:type="dxa"/>
            <w:tcBorders>
              <w:tl2br w:val="nil" w:color="auto" w:sz="0"/>
              <w:tr2bl w:val="nil" w:color="auto" w:sz="0"/>
            </w:tcBorders>
          </w:tcPr>
          <w:p>
            <w:pPr>
              <w:pStyle w:val="eti4qs"/>
              <w:snapToGrid w:val="0"/>
              <w:spacing w:before="0" w:after="0" w:line="240"/>
              <w:ind w:firstLineChars="200"/>
              <w:rPr>
                <w:b w:val="0"/>
                <w:sz w:val="21"/>
              </w:rPr>
            </w:pPr>
            <w:r>
              <w:rPr>
                <w:b w:val="0"/>
                <w:sz w:val="21"/>
              </w:rPr>
              <w:t>20轮，每轮评估1个新条件</w:t>
            </w:r>
          </w:p>
        </w:tc>
      </w:tr>
      <w:tr>
        <w:trPr/>
        <w:tc>
          <w:tcPr>
            <w:tcW w:w="1506" w:type="dxa"/>
            <w:tcBorders>
              <w:tl2br w:val="nil" w:color="auto" w:sz="0"/>
              <w:tr2bl w:val="nil" w:color="auto" w:sz="0"/>
            </w:tcBorders>
          </w:tcPr>
          <w:p>
            <w:pPr>
              <w:pStyle w:val="eti4qs"/>
              <w:snapToGrid w:val="0"/>
              <w:spacing w:before="0" w:after="0" w:line="240"/>
              <w:ind w:firstLineChars="0"/>
              <w:rPr>
                <w:b w:val="0"/>
                <w:sz w:val="21"/>
              </w:rPr>
            </w:pPr>
            <w:r>
              <w:rPr>
                <w:b w:val="0"/>
                <w:sz w:val="21"/>
              </w:rPr>
              <w:t>变量空间</w:t>
            </w:r>
          </w:p>
        </w:tc>
        <w:tc>
          <w:tcPr>
            <w:tcW w:w="7476" w:type="dxa"/>
            <w:tcBorders>
              <w:tl2br w:val="nil" w:color="auto" w:sz="0"/>
              <w:tr2bl w:val="nil" w:color="auto" w:sz="0"/>
            </w:tcBorders>
          </w:tcPr>
          <w:p>
            <w:pPr>
              <w:pStyle w:val="eti4qs"/>
              <w:snapToGrid w:val="0"/>
              <w:spacing w:before="0" w:after="0" w:line="240"/>
              <w:ind w:firstLineChars="200"/>
              <w:rPr>
                <w:b w:val="0"/>
                <w:sz w:val="21"/>
              </w:rPr>
            </w:pPr>
            <w:r>
              <w:rPr>
                <w:b w:val="0"/>
                <w:sz w:val="21"/>
              </w:rPr>
              <w:t>亲电试剂、含硼底物、配体、碱和溶剂</w:t>
            </w:r>
          </w:p>
        </w:tc>
      </w:tr>
      <w:tr>
        <w:trPr/>
        <w:tc>
          <w:tcPr>
            <w:tcW w:w="1506" w:type="dxa"/>
            <w:tcBorders>
              <w:tl2br w:val="nil" w:color="auto" w:sz="0"/>
              <w:tr2bl w:val="nil" w:color="auto" w:sz="0"/>
            </w:tcBorders>
          </w:tcPr>
          <w:p>
            <w:pPr>
              <w:pStyle w:val="eti4qs"/>
              <w:snapToGrid w:val="0"/>
              <w:spacing w:before="0" w:after="0" w:line="240"/>
              <w:ind w:firstLineChars="0"/>
              <w:rPr>
                <w:b w:val="0"/>
                <w:sz w:val="21"/>
              </w:rPr>
            </w:pPr>
            <w:r>
              <w:rPr>
                <w:b w:val="0"/>
                <w:sz w:val="21"/>
              </w:rPr>
              <w:t>对照设置</w:t>
            </w:r>
          </w:p>
        </w:tc>
        <w:tc>
          <w:tcPr>
            <w:tcW w:w="7476" w:type="dxa"/>
            <w:tcBorders>
              <w:tl2br w:val="nil" w:color="auto" w:sz="0"/>
              <w:tr2bl w:val="nil" w:color="auto" w:sz="0"/>
            </w:tcBorders>
          </w:tcPr>
          <w:p>
            <w:pPr>
              <w:pStyle w:val="eti4qs"/>
              <w:snapToGrid w:val="0"/>
              <w:spacing w:before="0" w:after="0" w:line="240"/>
              <w:ind w:firstLineChars="200"/>
              <w:rPr>
                <w:b w:val="0"/>
                <w:sz w:val="21"/>
              </w:rPr>
            </w:pPr>
            <w:r>
              <w:rPr>
                <w:b w:val="0"/>
                <w:sz w:val="21"/>
              </w:rPr>
              <w:t>启真Scientist与Atlas基线同起点、同预算对照</w:t>
            </w:r>
          </w:p>
        </w:tc>
      </w:tr>
      <w:tr>
        <w:trPr/>
        <w:tc>
          <w:tcPr>
            <w:tcW w:w="1506" w:type="dxa"/>
            <w:tcBorders>
              <w:tl2br w:val="nil" w:color="auto" w:sz="0"/>
              <w:tr2bl w:val="nil" w:color="auto" w:sz="0"/>
            </w:tcBorders>
          </w:tcPr>
          <w:p>
            <w:pPr>
              <w:pStyle w:val="eti4qs"/>
              <w:snapToGrid w:val="0"/>
              <w:spacing w:before="0" w:after="0" w:line="240"/>
              <w:ind w:firstLineChars="0"/>
              <w:rPr>
                <w:b w:val="0"/>
                <w:sz w:val="21"/>
              </w:rPr>
            </w:pPr>
            <w:r>
              <w:rPr>
                <w:b w:val="0"/>
                <w:sz w:val="21"/>
              </w:rPr>
              <w:t>高产率目标</w:t>
            </w:r>
          </w:p>
        </w:tc>
        <w:tc>
          <w:tcPr>
            <w:tcW w:w="7476" w:type="dxa"/>
            <w:tcBorders>
              <w:tl2br w:val="nil" w:color="auto" w:sz="0"/>
              <w:tr2bl w:val="nil" w:color="auto" w:sz="0"/>
            </w:tcBorders>
          </w:tcPr>
          <w:p>
            <w:pPr>
              <w:pStyle w:val="eti4qs"/>
              <w:snapToGrid w:val="0"/>
              <w:spacing w:before="0" w:after="0" w:line="240"/>
              <w:ind w:firstLineChars="200"/>
              <w:rPr>
                <w:b w:val="0"/>
                <w:sz w:val="21"/>
              </w:rPr>
            </w:pPr>
            <w:r>
              <w:rPr>
                <w:b w:val="0"/>
                <w:sz w:val="21"/>
              </w:rPr>
              <w:t>产率不低于95.00%</w:t>
            </w:r>
          </w:p>
        </w:tc>
      </w:tr>
      <w:tr>
        <w:trPr/>
        <w:tc>
          <w:tcPr>
            <w:tcW w:w="1506" w:type="dxa"/>
            <w:tcBorders>
              <w:tl2br w:val="nil" w:color="auto" w:sz="0"/>
              <w:tr2bl w:val="nil" w:color="auto" w:sz="0"/>
            </w:tcBorders>
          </w:tcPr>
          <w:p>
            <w:pPr>
              <w:pStyle w:val="eti4qs"/>
              <w:snapToGrid w:val="0"/>
              <w:spacing w:before="0" w:after="0" w:line="240"/>
              <w:ind w:firstLineChars="0"/>
              <w:rPr>
                <w:b w:val="0"/>
                <w:sz w:val="21"/>
              </w:rPr>
            </w:pPr>
            <w:r>
              <w:rPr>
                <w:b w:val="0"/>
                <w:sz w:val="21"/>
              </w:rPr>
              <w:t>随机种子</w:t>
            </w:r>
          </w:p>
        </w:tc>
        <w:tc>
          <w:tcPr>
            <w:tcW w:w="7476" w:type="dxa"/>
            <w:tcBorders>
              <w:tl2br w:val="nil" w:color="auto" w:sz="0"/>
              <w:tr2bl w:val="nil" w:color="auto" w:sz="0"/>
            </w:tcBorders>
          </w:tcPr>
          <w:p>
            <w:pPr>
              <w:pStyle w:val="eti4qs"/>
              <w:snapToGrid w:val="0"/>
              <w:spacing w:before="0" w:after="0" w:line="240"/>
              <w:ind w:firstLineChars="200"/>
              <w:rPr>
                <w:b w:val="0"/>
                <w:sz w:val="21"/>
              </w:rPr>
            </w:pPr>
            <w:r>
              <w:rPr>
                <w:b w:val="0"/>
                <w:sz w:val="21"/>
              </w:rPr>
              <w:t>1500</w:t>
            </w:r>
          </w:p>
        </w:tc>
      </w:tr>
    </w:tbl>
    <w:p>
      <w:pPr>
        <w:pStyle w:val="3mrkcm"/>
        <w:pBdr/>
        <w:ind/>
        <w:rPr>
          <w:rFonts w:hint="eastAsia"/>
        </w:rPr>
      </w:pPr>
      <w:r>
        <w:rPr/>
        <w:t>表</w:t>
      </w:r>
      <w:r>
        <w:rPr>
          <w:rFonts w:hint="eastAsia"/>
        </w:rPr>
        <w:t>4</w:t>
      </w:r>
      <w:r>
        <w:rPr/>
        <w:t>.</w:t>
      </w:r>
      <w:r>
        <w:rPr>
          <w:rFonts w:hint="eastAsia"/>
        </w:rPr>
        <w:t>3</w:t>
      </w:r>
      <w:r>
        <w:rPr>
          <w:rFonts w:hint="eastAsia"/>
        </w:rPr>
        <w:t xml:space="preserve"> Suzuki–Miyaura偶联反应闭环优化实验设置</w:t>
      </w:r>
    </w:p>
    <w:p>
      <w:pPr>
        <w:pStyle w:val="eti4qs"/>
        <w:snapToGrid w:val="0"/>
        <w:spacing w:before="0" w:after="0" w:line="240"/>
        <w:ind w:firstLineChars="200"/>
        <w:rPr>
          <w:b w:val="0"/>
          <w:sz w:val="21"/>
        </w:rPr>
      </w:pPr>
      <w:r>
        <w:rPr>
          <w:b w:val="0"/>
          <w:sz w:val="21"/>
        </w:rPr>
        <w:t>图4.</w:t>
      </w:r>
      <w:r>
        <w:rPr>
          <w:rFonts w:hint="eastAsia"/>
          <w:b w:val="0"/>
          <w:sz w:val="21"/>
        </w:rPr>
        <w:t>1</w:t>
      </w:r>
      <w:r>
        <w:rPr>
          <w:b w:val="0"/>
          <w:sz w:val="21"/>
        </w:rPr>
        <w:t>从整体优化效率和关键迭代过程两个层面展示了启真Scientist在Suzuki–Miyaura偶联反应条件优化中的运行结果。历史最佳产率轨迹反映了启真Scientist与Atlas基线在相同初始数据、候选空间和20轮实验预算下的搜索进程，并以95.00%产率作为高产率目标，直观呈现两种方案进入高产率区域的时间差异。虽然两种方案最终获得的最高产率均为96.30%，但启真Scientist在第11轮即达到目标，较Atlas基线提前5轮，表明知识增强机制能够提高有限实验预算下的搜索效率。图中还汇总了达到目标所需实验量、高产率新条件数量和平均历史最佳产率等指标，用于综合衡量系统发现高价值条件的速度、稳定性和候选覆盖能力。</w:t>
      </w:r>
    </w:p>
    <w:p>
      <w:pPr>
        <w:pStyle w:val="eti4qs"/>
        <w:snapToGrid w:val="0"/>
        <w:spacing w:before="0" w:after="0" w:line="240"/>
        <w:ind w:firstLineChars="200"/>
        <w:rPr>
          <w:b w:val="0"/>
          <w:sz w:val="21"/>
        </w:rPr>
      </w:pPr>
      <w:r>
        <w:rPr>
          <w:b w:val="0"/>
          <w:sz w:val="21"/>
        </w:rPr>
        <w:t>图4.1同时呈现了第7—12轮的实际产率变化及其决策过程。系统首先依据连续低产率识别当前搜索区域的停滞状态，随后调整候选访问方向，进入新的高潜力区域；在获得较高产率条件后，进一步通过配体调整和碱条件扫描缩小搜索范围，并建立具有变量控制关系的实验比较。由此可见，启真Scientist并非仅依据单次产率进行局部试探，而是将SciAtlas提供的科学知识和真实实验反馈组织为连续决策过程。该图既呈现了最终优化效果，也刻画了从停滞识别、方向调整到局部验证的完整迭代链路，为后续性能对比和关键实验过程分析提供直观依据。</w:t>
      </w:r>
    </w:p>
    <w:p>
      <w:pPr>
        <w:snapToGrid w:val="1"/>
        <w:spacing w:before="256" w:after="256" w:line="240"/>
        <w:ind w:left="0" w:right="0" w:hanging="0"/>
        <w:jc w:val="center"/>
        <w:rPr/>
      </w:pPr>
      <w:r>
        <w:rPr/>
        <w:drawing>
          <wp:inline distT="0" distB="0" distL="0" distR="0">
            <wp:extent cx="4573270" cy="2935731"/>
            <wp:effectExtent l="0" t="0" r="0" b="0"/>
            <wp:docPr id="26" name="picture" descr="descript"/>
            <wp:cNvGraphicFramePr/>
            <a:graphic>
              <a:graphicData uri="http://schemas.openxmlformats.org/drawingml/2006/picture">
                <pic:pic>
                  <pic:nvPicPr>
                    <pic:cNvPr id="27" name="picture" descr="descript"/>
                    <pic:cNvPicPr/>
                  </pic:nvPicPr>
                  <pic:blipFill rotWithShape="1">
                    <a:blip r:embed="rId19"/>
                    <a:stretch/>
                  </pic:blipFill>
                  <pic:spPr>
                    <a:xfrm flipH="0" flipV="0">
                      <a:off x="0" y="0"/>
                      <a:ext cx="4573270" cy="2935731"/>
                    </a:xfrm>
                    <a:prstGeom prst="rect">
                      <a:avLst/>
                    </a:prstGeom>
                  </pic:spPr>
                </pic:pic>
              </a:graphicData>
            </a:graphic>
          </wp:inline>
        </w:drawing>
      </w:r>
    </w:p>
    <w:p>
      <w:pPr>
        <w:pStyle w:val="3mrkcm"/>
        <w:numPr/>
        <w:pBdr/>
        <w:ind/>
        <w:jc w:val="center"/>
        <w:rPr/>
      </w:pPr>
      <w:r>
        <w:rPr/>
        <w:t>图</w:t>
      </w:r>
      <w:r>
        <w:rPr>
          <w:rFonts w:hint="eastAsia"/>
        </w:rPr>
        <w:t>4</w:t>
      </w:r>
      <w:r>
        <w:rPr/>
        <w:t>.</w:t>
      </w:r>
      <w:r>
        <w:rPr>
          <w:rFonts w:hint="eastAsia"/>
        </w:rPr>
        <w:t>1</w:t>
      </w:r>
      <w:r>
        <w:rPr/>
        <w:t xml:space="preserve">  Suzuki反应20轮闭环优化结果。 </w:t>
      </w:r>
    </w:p>
    <w:p>
      <w:pPr>
        <w:pStyle w:val="000004"/>
        <w:pBdr/>
        <w:ind/>
        <w:rPr/>
      </w:pPr>
      <w:bookmarkStart w:id="68" w:name="_Tocr2r69n"/>
      <w:bookmarkStart w:id="69" w:name="_Tocx3b26z"/>
      <w:r>
        <w:rPr>
          <w:rFonts w:hint="eastAsia"/>
        </w:rPr>
        <w:t>4</w:t>
      </w:r>
      <w:r>
        <w:rPr/>
        <w:t>.</w:t>
      </w:r>
      <w:r>
        <w:rPr>
          <w:rFonts w:hint="eastAsia"/>
        </w:rPr>
        <w:t>2</w:t>
      </w:r>
      <w:r>
        <w:rPr/>
        <w:t>.2</w:t>
      </w:r>
      <w:r>
        <w:rPr>
          <w:rFonts w:hint="eastAsia"/>
        </w:rPr>
        <w:t xml:space="preserve"> </w:t>
      </w:r>
      <w:r>
        <w:rPr/>
        <w:t>实验结果与关键迭代</w:t>
      </w:r>
      <w:bookmarkEnd w:id="68"/>
      <w:bookmarkEnd w:id="69"/>
    </w:p>
    <w:p>
      <w:pPr>
        <w:pStyle w:val="eti4qs"/>
        <w:snapToGrid w:val="0"/>
        <w:spacing w:before="0" w:after="0" w:line="240"/>
        <w:ind w:firstLineChars="200"/>
        <w:rPr>
          <w:b w:val="0"/>
          <w:sz w:val="21"/>
        </w:rPr>
      </w:pPr>
      <w:r>
        <w:rPr>
          <w:b w:val="0"/>
          <w:sz w:val="21"/>
        </w:rPr>
        <w:t>速度存在明显差异。启真Scientist在第11轮首次达到96.30%，Atlas基线在第16轮达到同一水平，前者提前5轮完成目标，对应实验需求减少31.25%。在完整20轮预算内，启真Scientist获得4个产率不低于95%的新条件，Atlas基线获得1个；且启真Scientist的20轮平均历史最佳产率也由Atlas基线的85.37%提高至86.90%。因此，该方案的主要优势并非提高最终单点最高值，而是在相同预算下更早发现高产率区域，并利用剩余轮次形成更多可供验证和选择的高产率条件。</w:t>
      </w:r>
    </w:p>
    <w:tbl>
      <w:tblPr>
        <w:tblStyle w:val="000015"/>
        <w:tblBorders>
          <w:top w:val="single" w:color="000000" w:sz="12"/>
          <w:left w:val="nil" w:color="auto" w:sz="0"/>
          <w:bottom w:val="single" w:color="000000" w:sz="12"/>
          <w:right w:val="nil" w:color="auto" w:sz="0"/>
          <w:insideH w:val="nil" w:color="auto" w:sz="0"/>
          <w:insideV w:val="nil" w:color="auto" w:sz="0"/>
        </w:tblBorders>
        <w:tblLayout w:type="fixed"/>
        <w:tblLook w:firstRow="1" w:lastRow="0" w:firstColumn="1" w:lastColumn="0" w:noHBand="0" w:noVBand="1"/>
      </w:tblPr>
      <w:tblGrid>
        <w:gridCol w:w="2760"/>
        <w:gridCol w:w="2760"/>
        <w:gridCol w:w="2760"/>
      </w:tblGrid>
      <w:tr>
        <w:trPr>
          <w:trHeight w:val="477" w:hRule="atLeast"/>
        </w:trPr>
        <w:tc>
          <w:tcPr>
            <w:tcW w:w="2760" w:type="dxa"/>
            <w:tcBorders>
              <w:bottom w:val="single" w:color="000000" w:sz="6"/>
              <w:tl2br w:val="nil" w:color="auto" w:sz="0"/>
              <w:tr2bl w:val="nil" w:color="auto" w:sz="0"/>
            </w:tcBorders>
          </w:tcPr>
          <w:p>
            <w:pPr>
              <w:numPr/>
              <w:pBdr>
                <w:bottom/>
              </w:pBdr>
              <w:snapToGrid w:val="1"/>
              <w:spacing w:before="0" w:after="0" w:line="240"/>
              <w:ind/>
              <w:jc w:val="left"/>
              <w:rPr>
                <w:rFonts w:ascii="Open Sans" w:hAnsi="Open Sans" w:eastAsia="黑体" w:cs="Open Sans"/>
                <w:b w:val="1"/>
                <w:i w:val="0"/>
                <w:strike w:val="0"/>
                <w:color w:val="000000"/>
                <w:spacing w:val="0"/>
                <w:sz w:val="21"/>
                <w:u w:val="none"/>
              </w:rPr>
            </w:pPr>
            <w:r>
              <w:rPr>
                <w:rFonts w:ascii="Open Sans" w:hAnsi="Open Sans" w:eastAsia="黑体" w:cs="Open Sans"/>
                <w:b w:val="1"/>
                <w:i w:val="0"/>
                <w:strike w:val="0"/>
                <w:color w:val="000000"/>
                <w:spacing w:val="0"/>
                <w:sz w:val="21"/>
                <w:u w:val="none"/>
              </w:rPr>
              <w:t>评价指标</w:t>
            </w:r>
          </w:p>
        </w:tc>
        <w:tc>
          <w:tcPr>
            <w:tcW w:w="2760" w:type="dxa"/>
            <w:tcBorders>
              <w:bottom w:val="single" w:color="000000" w:sz="6"/>
              <w:tl2br w:val="nil" w:color="auto" w:sz="0"/>
              <w:tr2bl w:val="nil" w:color="auto" w:sz="0"/>
            </w:tcBorders>
          </w:tcPr>
          <w:p>
            <w:pPr>
              <w:numPr/>
              <w:pBdr>
                <w:bottom/>
              </w:pBdr>
              <w:snapToGrid w:val="1"/>
              <w:spacing w:before="0" w:after="0" w:line="240"/>
              <w:ind/>
              <w:jc w:val="left"/>
              <w:rPr>
                <w:rFonts w:ascii="Open Sans" w:hAnsi="Open Sans" w:eastAsia="黑体" w:cs="Open Sans"/>
                <w:b w:val="1"/>
                <w:i w:val="0"/>
                <w:strike w:val="0"/>
                <w:color w:val="000000"/>
                <w:spacing w:val="0"/>
                <w:sz w:val="21"/>
                <w:u w:val="none"/>
              </w:rPr>
            </w:pPr>
            <w:r>
              <w:rPr>
                <w:rFonts w:ascii="Open Sans" w:hAnsi="Open Sans" w:eastAsia="黑体" w:cs="Open Sans"/>
                <w:b w:val="1"/>
                <w:i w:val="0"/>
                <w:strike w:val="0"/>
                <w:color w:val="000000"/>
                <w:spacing w:val="0"/>
                <w:sz w:val="21"/>
                <w:u w:val="none"/>
              </w:rPr>
              <w:t>Atlas基线</w:t>
            </w:r>
          </w:p>
        </w:tc>
        <w:tc>
          <w:tcPr>
            <w:tcW w:w="2760" w:type="dxa"/>
            <w:tcBorders>
              <w:bottom w:val="single" w:color="000000" w:sz="6"/>
              <w:tl2br w:val="nil" w:color="auto" w:sz="0"/>
              <w:tr2bl w:val="nil" w:color="auto" w:sz="0"/>
            </w:tcBorders>
          </w:tcPr>
          <w:p>
            <w:pPr>
              <w:numPr/>
              <w:pBdr>
                <w:bottom/>
              </w:pBdr>
              <w:snapToGrid w:val="1"/>
              <w:spacing w:before="0" w:after="0" w:line="240"/>
              <w:ind/>
              <w:jc w:val="left"/>
              <w:rPr>
                <w:rFonts w:ascii="Open Sans" w:hAnsi="Open Sans" w:eastAsia="黑体" w:cs="Open Sans"/>
                <w:b w:val="1"/>
                <w:i w:val="0"/>
                <w:strike w:val="0"/>
                <w:color w:val="000000"/>
                <w:spacing w:val="0"/>
                <w:sz w:val="21"/>
                <w:u w:val="none"/>
              </w:rPr>
            </w:pPr>
            <w:r>
              <w:rPr>
                <w:rFonts w:hint="eastAsia" w:ascii="Open Sans" w:hAnsi="Open Sans" w:eastAsia="黑体" w:cs="Open Sans"/>
                <w:b w:val="1"/>
                <w:i w:val="0"/>
                <w:strike w:val="0"/>
                <w:color w:val="000000"/>
                <w:spacing w:val="0"/>
                <w:sz w:val="21"/>
                <w:u w:val="none"/>
              </w:rPr>
              <w:t>启真</w:t>
            </w:r>
            <w:r>
              <w:rPr>
                <w:rFonts w:hint="eastAsia" w:ascii="Open Sans" w:hAnsi="Open Sans" w:eastAsia="黑体" w:cs="Open Sans"/>
                <w:b w:val="1"/>
                <w:i w:val="0"/>
                <w:strike w:val="0"/>
                <w:color w:val="000000"/>
                <w:spacing w:val="0"/>
                <w:sz w:val="21"/>
                <w:u w:val="none"/>
              </w:rPr>
              <w:t>Scientist</w:t>
            </w:r>
          </w:p>
        </w:tc>
      </w:tr>
      <w:tr>
        <w:trPr/>
        <w:tc>
          <w:tcPr>
            <w:tcW w:w="2760" w:type="dxa"/>
            <w:tcBorders>
              <w:top w:val="single" w:color="000000" w:sz="6"/>
              <w:tl2br w:val="nil" w:color="auto" w:sz="0"/>
              <w:tr2bl w:val="nil" w:color="auto" w:sz="0"/>
            </w:tcBorders>
          </w:tcPr>
          <w:p>
            <w:pPr>
              <w:pStyle w:val="eti4qs"/>
              <w:snapToGrid w:val="0"/>
              <w:spacing w:before="0" w:after="0" w:line="240"/>
              <w:ind w:firstLineChars="0"/>
              <w:rPr>
                <w:b w:val="0"/>
                <w:sz w:val="21"/>
              </w:rPr>
            </w:pPr>
            <w:r>
              <w:rPr>
                <w:b w:val="0"/>
                <w:sz w:val="21"/>
              </w:rPr>
              <w:t>20轮最高产率</w:t>
            </w:r>
          </w:p>
        </w:tc>
        <w:tc>
          <w:tcPr>
            <w:tcW w:w="2760" w:type="dxa"/>
            <w:tcBorders>
              <w:top w:val="single" w:color="000000" w:sz="6"/>
              <w:tl2br w:val="nil" w:color="auto" w:sz="0"/>
              <w:tr2bl w:val="nil" w:color="auto" w:sz="0"/>
            </w:tcBorders>
          </w:tcPr>
          <w:p>
            <w:pPr>
              <w:pStyle w:val="eti4qs"/>
              <w:snapToGrid w:val="0"/>
              <w:spacing w:before="0" w:after="0" w:line="240"/>
              <w:ind w:firstLineChars="200"/>
              <w:rPr>
                <w:b w:val="0"/>
                <w:sz w:val="21"/>
              </w:rPr>
            </w:pPr>
            <w:r>
              <w:rPr>
                <w:b w:val="0"/>
                <w:sz w:val="21"/>
              </w:rPr>
              <w:t>96.30%</w:t>
            </w:r>
          </w:p>
        </w:tc>
        <w:tc>
          <w:tcPr>
            <w:tcW w:w="2760" w:type="dxa"/>
            <w:tcBorders>
              <w:top w:val="single" w:color="000000" w:sz="6"/>
              <w:tl2br w:val="nil" w:color="auto" w:sz="0"/>
              <w:tr2bl w:val="nil" w:color="auto" w:sz="0"/>
            </w:tcBorders>
          </w:tcPr>
          <w:p>
            <w:pPr>
              <w:pStyle w:val="eti4qs"/>
              <w:snapToGrid w:val="0"/>
              <w:spacing w:before="0" w:after="0" w:line="240"/>
              <w:ind w:firstLineChars="200"/>
              <w:rPr>
                <w:b w:val="0"/>
                <w:sz w:val="21"/>
              </w:rPr>
            </w:pPr>
            <w:r>
              <w:rPr>
                <w:b w:val="0"/>
                <w:sz w:val="21"/>
              </w:rPr>
              <w:t>96.30%</w:t>
            </w:r>
          </w:p>
        </w:tc>
      </w:tr>
      <w:tr>
        <w:trPr/>
        <w:tc>
          <w:tcPr>
            <w:tcW w:w="2760" w:type="dxa"/>
            <w:tcBorders>
              <w:tl2br w:val="nil" w:color="auto" w:sz="0"/>
              <w:tr2bl w:val="nil" w:color="auto" w:sz="0"/>
            </w:tcBorders>
          </w:tcPr>
          <w:p>
            <w:pPr>
              <w:pStyle w:val="eti4qs"/>
              <w:snapToGrid w:val="0"/>
              <w:spacing w:before="0" w:after="0" w:line="240"/>
              <w:ind w:firstLineChars="0"/>
              <w:rPr>
                <w:b w:val="0"/>
                <w:sz w:val="21"/>
              </w:rPr>
            </w:pPr>
            <w:r>
              <w:rPr>
                <w:b w:val="0"/>
                <w:sz w:val="21"/>
              </w:rPr>
              <w:t>首次达到95%产率</w:t>
            </w:r>
          </w:p>
        </w:tc>
        <w:tc>
          <w:tcPr>
            <w:tcW w:w="2760" w:type="dxa"/>
            <w:tcBorders>
              <w:tl2br w:val="nil" w:color="auto" w:sz="0"/>
              <w:tr2bl w:val="nil" w:color="auto" w:sz="0"/>
            </w:tcBorders>
          </w:tcPr>
          <w:p>
            <w:pPr>
              <w:pStyle w:val="eti4qs"/>
              <w:snapToGrid w:val="0"/>
              <w:spacing w:before="0" w:after="0" w:line="240"/>
              <w:ind w:firstLineChars="200"/>
              <w:rPr>
                <w:b w:val="0"/>
                <w:sz w:val="21"/>
              </w:rPr>
            </w:pPr>
            <w:r>
              <w:rPr>
                <w:b w:val="0"/>
                <w:sz w:val="21"/>
              </w:rPr>
              <w:t>第16轮</w:t>
            </w:r>
          </w:p>
        </w:tc>
        <w:tc>
          <w:tcPr>
            <w:tcW w:w="2760" w:type="dxa"/>
            <w:tcBorders>
              <w:tl2br w:val="nil" w:color="auto" w:sz="0"/>
              <w:tr2bl w:val="nil" w:color="auto" w:sz="0"/>
            </w:tcBorders>
          </w:tcPr>
          <w:p>
            <w:pPr>
              <w:pStyle w:val="eti4qs"/>
              <w:snapToGrid w:val="0"/>
              <w:spacing w:before="0" w:after="0" w:line="240"/>
              <w:ind w:firstLineChars="200"/>
              <w:rPr>
                <w:b w:val="0"/>
                <w:sz w:val="21"/>
              </w:rPr>
            </w:pPr>
            <w:r>
              <w:rPr>
                <w:b w:val="0"/>
                <w:sz w:val="21"/>
              </w:rPr>
              <w:t>第11轮</w:t>
            </w:r>
          </w:p>
        </w:tc>
      </w:tr>
      <w:tr>
        <w:trPr/>
        <w:tc>
          <w:tcPr>
            <w:tcW w:w="2760" w:type="dxa"/>
            <w:tcBorders>
              <w:tl2br w:val="nil" w:color="auto" w:sz="0"/>
              <w:tr2bl w:val="nil" w:color="auto" w:sz="0"/>
            </w:tcBorders>
          </w:tcPr>
          <w:p>
            <w:pPr>
              <w:pStyle w:val="eti4qs"/>
              <w:snapToGrid w:val="0"/>
              <w:spacing w:before="0" w:after="0" w:line="240"/>
              <w:ind w:firstLineChars="0"/>
              <w:rPr>
                <w:b w:val="0"/>
                <w:sz w:val="21"/>
              </w:rPr>
            </w:pPr>
            <w:r>
              <w:rPr>
                <w:b w:val="0"/>
                <w:sz w:val="21"/>
              </w:rPr>
              <w:t>达到目标所需实验</w:t>
            </w:r>
          </w:p>
        </w:tc>
        <w:tc>
          <w:tcPr>
            <w:tcW w:w="2760" w:type="dxa"/>
            <w:tcBorders>
              <w:tl2br w:val="nil" w:color="auto" w:sz="0"/>
              <w:tr2bl w:val="nil" w:color="auto" w:sz="0"/>
            </w:tcBorders>
          </w:tcPr>
          <w:p>
            <w:pPr>
              <w:pStyle w:val="eti4qs"/>
              <w:snapToGrid w:val="0"/>
              <w:spacing w:before="0" w:after="0" w:line="240"/>
              <w:ind w:firstLineChars="200"/>
              <w:rPr>
                <w:b w:val="0"/>
                <w:sz w:val="21"/>
              </w:rPr>
            </w:pPr>
            <w:r>
              <w:rPr>
                <w:b w:val="0"/>
                <w:sz w:val="21"/>
              </w:rPr>
              <w:t>16轮</w:t>
            </w:r>
          </w:p>
        </w:tc>
        <w:tc>
          <w:tcPr>
            <w:tcW w:w="2760" w:type="dxa"/>
            <w:tcBorders>
              <w:tl2br w:val="nil" w:color="auto" w:sz="0"/>
              <w:tr2bl w:val="nil" w:color="auto" w:sz="0"/>
            </w:tcBorders>
          </w:tcPr>
          <w:p>
            <w:pPr>
              <w:pStyle w:val="eti4qs"/>
              <w:snapToGrid w:val="0"/>
              <w:spacing w:before="0" w:after="0" w:line="240"/>
              <w:ind w:firstLineChars="200"/>
              <w:rPr>
                <w:b w:val="0"/>
                <w:sz w:val="21"/>
              </w:rPr>
            </w:pPr>
            <w:r>
              <w:rPr>
                <w:b w:val="0"/>
                <w:sz w:val="21"/>
              </w:rPr>
              <w:t>11轮</w:t>
            </w:r>
          </w:p>
        </w:tc>
      </w:tr>
      <w:tr>
        <w:trPr>
          <w:trHeight/>
        </w:trPr>
        <w:tc>
          <w:tcPr>
            <w:tcW w:w="2760" w:type="dxa"/>
            <w:tcBorders>
              <w:tl2br w:val="nil" w:color="auto" w:sz="0"/>
              <w:tr2bl w:val="nil" w:color="auto" w:sz="0"/>
            </w:tcBorders>
          </w:tcPr>
          <w:p>
            <w:pPr>
              <w:pStyle w:val="eti4qs"/>
              <w:snapToGrid w:val="0"/>
              <w:spacing w:before="0" w:after="0" w:line="240"/>
              <w:ind w:firstLineChars="0"/>
              <w:rPr>
                <w:b w:val="0"/>
                <w:sz w:val="21"/>
              </w:rPr>
            </w:pPr>
            <w:r>
              <w:rPr>
                <w:b w:val="0"/>
                <w:sz w:val="21"/>
              </w:rPr>
              <w:t>高产率新条件数量</w:t>
            </w:r>
          </w:p>
        </w:tc>
        <w:tc>
          <w:tcPr>
            <w:tcW w:w="2760" w:type="dxa"/>
            <w:tcBorders>
              <w:tl2br w:val="nil" w:color="auto" w:sz="0"/>
              <w:tr2bl w:val="nil" w:color="auto" w:sz="0"/>
            </w:tcBorders>
          </w:tcPr>
          <w:p>
            <w:pPr>
              <w:pStyle w:val="eti4qs"/>
              <w:snapToGrid w:val="0"/>
              <w:spacing w:before="0" w:after="0" w:line="240"/>
              <w:ind w:firstLineChars="200"/>
              <w:rPr>
                <w:b w:val="0"/>
                <w:sz w:val="21"/>
              </w:rPr>
            </w:pPr>
            <w:r>
              <w:rPr>
                <w:b w:val="0"/>
                <w:sz w:val="21"/>
              </w:rPr>
              <w:t>1个</w:t>
            </w:r>
          </w:p>
        </w:tc>
        <w:tc>
          <w:tcPr>
            <w:tcW w:w="2760" w:type="dxa"/>
            <w:tcBorders>
              <w:tl2br w:val="nil" w:color="auto" w:sz="0"/>
              <w:tr2bl w:val="nil" w:color="auto" w:sz="0"/>
            </w:tcBorders>
          </w:tcPr>
          <w:p>
            <w:pPr>
              <w:pStyle w:val="eti4qs"/>
              <w:snapToGrid w:val="0"/>
              <w:spacing w:before="0" w:after="0" w:line="240"/>
              <w:ind w:firstLineChars="200"/>
              <w:rPr>
                <w:b w:val="0"/>
                <w:sz w:val="21"/>
              </w:rPr>
            </w:pPr>
            <w:r>
              <w:rPr>
                <w:b w:val="0"/>
                <w:sz w:val="21"/>
              </w:rPr>
              <w:t>4个</w:t>
            </w:r>
          </w:p>
        </w:tc>
      </w:tr>
      <w:tr>
        <w:trPr/>
        <w:tc>
          <w:tcPr>
            <w:tcW w:w="2760" w:type="dxa"/>
            <w:tcBorders>
              <w:tl2br w:val="nil" w:color="auto" w:sz="0"/>
              <w:tr2bl w:val="nil" w:color="auto" w:sz="0"/>
            </w:tcBorders>
          </w:tcPr>
          <w:p>
            <w:pPr>
              <w:pStyle w:val="eti4qs"/>
              <w:snapToGrid w:val="0"/>
              <w:spacing w:before="0" w:after="0" w:line="240"/>
              <w:ind w:firstLineChars="0"/>
              <w:rPr>
                <w:b w:val="0"/>
                <w:sz w:val="21"/>
              </w:rPr>
            </w:pPr>
            <w:r>
              <w:rPr>
                <w:b w:val="0"/>
                <w:sz w:val="21"/>
              </w:rPr>
              <w:t>20轮平均历史最佳产率</w:t>
            </w:r>
          </w:p>
        </w:tc>
        <w:tc>
          <w:tcPr>
            <w:tcW w:w="2760" w:type="dxa"/>
            <w:tcBorders>
              <w:tl2br w:val="nil" w:color="auto" w:sz="0"/>
              <w:tr2bl w:val="nil" w:color="auto" w:sz="0"/>
            </w:tcBorders>
          </w:tcPr>
          <w:p>
            <w:pPr>
              <w:pStyle w:val="eti4qs"/>
              <w:snapToGrid w:val="0"/>
              <w:spacing w:before="0" w:after="0" w:line="240"/>
              <w:ind w:firstLineChars="200"/>
              <w:rPr>
                <w:b w:val="0"/>
                <w:sz w:val="21"/>
              </w:rPr>
            </w:pPr>
            <w:r>
              <w:rPr>
                <w:b w:val="0"/>
                <w:sz w:val="21"/>
              </w:rPr>
              <w:t>85.37%</w:t>
            </w:r>
          </w:p>
        </w:tc>
        <w:tc>
          <w:tcPr>
            <w:tcW w:w="2760" w:type="dxa"/>
            <w:tcBorders>
              <w:tl2br w:val="nil" w:color="auto" w:sz="0"/>
              <w:tr2bl w:val="nil" w:color="auto" w:sz="0"/>
            </w:tcBorders>
          </w:tcPr>
          <w:p>
            <w:pPr>
              <w:pStyle w:val="eti4qs"/>
              <w:snapToGrid w:val="0"/>
              <w:spacing w:before="0" w:after="0" w:line="240"/>
              <w:ind w:firstLineChars="200"/>
              <w:rPr>
                <w:b w:val="0"/>
                <w:sz w:val="21"/>
              </w:rPr>
            </w:pPr>
            <w:r>
              <w:rPr>
                <w:b w:val="0"/>
                <w:sz w:val="21"/>
              </w:rPr>
              <w:t>86.90%</w:t>
            </w:r>
          </w:p>
        </w:tc>
      </w:tr>
    </w:tbl>
    <w:p>
      <w:pPr>
        <w:pStyle w:val="3mrkcm"/>
        <w:numPr/>
        <w:pBdr>
          <w:bottom/>
        </w:pBdr>
        <w:ind/>
        <w:rPr>
          <w:b w:val="1"/>
        </w:rPr>
      </w:pPr>
      <w:r>
        <w:rPr>
          <w:rStyle w:val="3xxgsb"/>
        </w:rPr>
        <w:t>表</w:t>
      </w:r>
      <w:r>
        <w:rPr>
          <w:rStyle w:val="3xxgsb"/>
          <w:rFonts w:hint="eastAsia"/>
        </w:rPr>
        <w:t>4</w:t>
      </w:r>
      <w:r>
        <w:rPr>
          <w:rStyle w:val="3xxgsb"/>
        </w:rPr>
        <w:t>.</w:t>
      </w:r>
      <w:r>
        <w:rPr>
          <w:rStyle w:val="3xxgsb"/>
          <w:rFonts w:hint="eastAsia"/>
        </w:rPr>
        <w:t>4</w:t>
      </w:r>
      <w:r>
        <w:rPr>
          <w:rStyle w:val="3xxgsb"/>
          <w:rFonts w:hint="eastAsia"/>
        </w:rPr>
        <w:t xml:space="preserve"> Suzuki–Miyaura偶联反应闭环优化实验设置</w:t>
      </w:r>
    </w:p>
    <w:p>
      <w:pPr>
        <w:pStyle w:val="eti4qs"/>
        <w:snapToGrid w:val="0"/>
        <w:spacing w:before="0" w:after="0" w:line="240"/>
        <w:ind w:firstLineChars="200"/>
        <w:rPr>
          <w:b w:val="0"/>
          <w:sz w:val="21"/>
        </w:rPr>
      </w:pPr>
      <w:r>
        <w:rPr>
          <w:b w:val="0"/>
          <w:sz w:val="21"/>
        </w:rPr>
        <w:t>性能差异主要形成于第7—12轮。第7轮结束时，新增实验已连续多轮未超过初始最佳产率，说明当前搜索区域缺乏改善趋势。系统随后调整候选访问方向：第8轮在Atlas合法短名单内选择差异化条件，将本轮产率提高至89.63%；第9轮保持底物、碱和溶剂不变，仅将配体由dppf调整为PCy3，产率进一步提高至92.43%；第10—12轮固定已验证的核心组合，对碱进行受控扫描，最终在K3PO4条件下获得96.30%的产率。</w:t>
      </w:r>
    </w:p>
    <w:p>
      <w:pPr>
        <w:pStyle w:val="000001"/>
        <w:pBdr/>
        <w:snapToGrid w:val="0"/>
        <w:spacing w:before="0" w:after="0" w:line="360"/>
        <w:ind w:firstLineChars="0"/>
        <w:rPr/>
      </w:pPr>
    </w:p>
    <w:tbl>
      <w:tblPr>
        <w:tblStyle w:val="000015"/>
        <w:jc w:val="center"/>
        <w:tblInd w:w="0"/>
        <w:tblBorders>
          <w:top w:val="single" w:color="000000" w:sz="12"/>
          <w:left w:val="nil" w:color="auto" w:sz="0"/>
          <w:bottom w:val="single" w:color="000000" w:sz="6"/>
          <w:right w:val="nil" w:color="auto" w:sz="0"/>
          <w:insideH w:val="nil" w:color="auto" w:sz="0"/>
          <w:insideV w:val="nil" w:color="auto" w:sz="0"/>
        </w:tblBorders>
        <w:tblLayout w:type="fixed"/>
        <w:tblLook w:firstRow="0" w:lastRow="0" w:firstColumn="0" w:lastColumn="0" w:noHBand="1" w:noVBand="1"/>
      </w:tblPr>
      <w:tblGrid>
        <w:gridCol w:w="1561"/>
        <w:gridCol w:w="2236"/>
        <w:gridCol w:w="4501"/>
      </w:tblGrid>
      <w:tr>
        <w:trPr>
          <w:wBefore/>
          <w:trHeight/>
        </w:trPr>
        <w:tc>
          <w:tcPr>
            <w:tcW w:w="1561" w:type="dxa"/>
            <w:tcBorders>
              <w:bottom w:val="single" w:color="000000" w:sz="6"/>
              <w:tl2br w:val="nil" w:color="auto" w:sz="0"/>
              <w:tr2bl w:val="nil" w:color="auto" w:sz="0"/>
            </w:tcBorders>
          </w:tcPr>
          <w:p>
            <w:pPr>
              <w:numPr/>
              <w:pBdr>
                <w:bottom/>
              </w:pBdr>
              <w:snapToGrid w:val="1"/>
              <w:spacing w:before="0" w:after="0" w:line="240"/>
              <w:ind/>
              <w:jc w:val="left"/>
              <w:rPr>
                <w:rFonts w:eastAsia="黑体"/>
                <w:b w:val="1"/>
                <w:sz w:val="21"/>
              </w:rPr>
            </w:pPr>
            <w:r>
              <w:rPr>
                <w:rFonts w:hint="eastAsia" w:eastAsia="黑体"/>
                <w:b w:val="1"/>
                <w:sz w:val="21"/>
              </w:rPr>
              <w:t>评价指标</w:t>
            </w:r>
          </w:p>
        </w:tc>
        <w:tc>
          <w:tcPr>
            <w:tcW w:w="2236" w:type="dxa"/>
            <w:tcBorders>
              <w:bottom w:val="single" w:color="000000" w:sz="6"/>
              <w:tl2br w:val="nil" w:color="auto" w:sz="0"/>
              <w:tr2bl w:val="nil" w:color="auto" w:sz="0"/>
            </w:tcBorders>
          </w:tcPr>
          <w:p>
            <w:pPr>
              <w:numPr/>
              <w:pBdr>
                <w:bottom/>
              </w:pBdr>
              <w:snapToGrid w:val="1"/>
              <w:spacing w:before="0" w:after="0" w:line="240"/>
              <w:ind/>
              <w:jc w:val="center"/>
              <w:rPr>
                <w:rFonts w:eastAsia="黑体"/>
                <w:b w:val="1"/>
                <w:sz w:val="21"/>
              </w:rPr>
            </w:pPr>
            <w:r>
              <w:rPr>
                <w:rFonts w:hint="eastAsia" w:eastAsia="黑体"/>
                <w:b w:val="1"/>
                <w:sz w:val="21"/>
              </w:rPr>
              <w:t>产率</w:t>
            </w:r>
          </w:p>
        </w:tc>
        <w:tc>
          <w:tcPr>
            <w:tcW w:w="4501" w:type="dxa"/>
            <w:tcBorders>
              <w:bottom w:val="single" w:color="000000" w:sz="6"/>
              <w:tl2br w:val="nil" w:color="auto" w:sz="0"/>
              <w:tr2bl w:val="nil" w:color="auto" w:sz="0"/>
            </w:tcBorders>
          </w:tcPr>
          <w:p>
            <w:pPr>
              <w:numPr/>
              <w:pBdr>
                <w:bottom/>
              </w:pBdr>
              <w:snapToGrid w:val="1"/>
              <w:spacing w:before="0" w:after="0" w:line="240"/>
              <w:ind/>
              <w:jc w:val="center"/>
              <w:rPr>
                <w:rFonts w:eastAsia="黑体"/>
                <w:b w:val="1"/>
                <w:sz w:val="21"/>
              </w:rPr>
            </w:pPr>
            <w:r>
              <w:rPr>
                <w:rFonts w:hint="eastAsia" w:eastAsia="黑体"/>
                <w:b w:val="1"/>
                <w:sz w:val="21"/>
              </w:rPr>
              <w:t>条件调整与反馈结论</w:t>
            </w:r>
          </w:p>
        </w:tc>
      </w:tr>
      <w:tr>
        <w:trPr>
          <w:wBefore/>
          <w:trHeight/>
        </w:trPr>
        <w:tc>
          <w:tcPr>
            <w:tcW w:w="1561" w:type="dxa"/>
            <w:tcBorders>
              <w:top w:val="single" w:color="000000" w:sz="6"/>
              <w:tl2br w:val="nil" w:color="auto" w:sz="0"/>
              <w:tr2bl w:val="nil" w:color="auto" w:sz="0"/>
            </w:tcBorders>
          </w:tcPr>
          <w:p>
            <w:pPr>
              <w:pStyle w:val="eti4qs"/>
              <w:snapToGrid w:val="0"/>
              <w:spacing w:before="0" w:after="0" w:line="240"/>
              <w:ind w:firstLineChars="0"/>
              <w:rPr>
                <w:b w:val="0"/>
                <w:sz w:val="21"/>
              </w:rPr>
            </w:pPr>
            <w:r>
              <w:rPr>
                <w:b w:val="0"/>
                <w:sz w:val="21"/>
              </w:rPr>
              <w:t>7</w:t>
            </w:r>
          </w:p>
        </w:tc>
        <w:tc>
          <w:tcPr>
            <w:tcW w:w="2236" w:type="dxa"/>
            <w:tcBorders>
              <w:top w:val="single" w:color="000000" w:sz="6"/>
              <w:tl2br w:val="nil" w:color="auto" w:sz="0"/>
              <w:tr2bl w:val="nil" w:color="auto" w:sz="0"/>
            </w:tcBorders>
          </w:tcPr>
          <w:p>
            <w:pPr>
              <w:pStyle w:val="eti4qs"/>
              <w:snapToGrid w:val="0"/>
              <w:spacing w:before="0" w:after="0" w:line="240"/>
              <w:ind w:firstLineChars="0"/>
              <w:rPr>
                <w:b w:val="0"/>
                <w:sz w:val="21"/>
              </w:rPr>
            </w:pPr>
            <w:r>
              <w:rPr>
                <w:b w:val="0"/>
                <w:sz w:val="21"/>
              </w:rPr>
              <w:t>24.26%</w:t>
            </w:r>
          </w:p>
        </w:tc>
        <w:tc>
          <w:tcPr>
            <w:tcW w:w="4501" w:type="dxa"/>
            <w:tcBorders>
              <w:top w:val="single" w:color="000000" w:sz="6"/>
              <w:tl2br w:val="nil" w:color="auto" w:sz="0"/>
              <w:tr2bl w:val="nil" w:color="auto" w:sz="0"/>
            </w:tcBorders>
          </w:tcPr>
          <w:p>
            <w:pPr>
              <w:pStyle w:val="eti4qs"/>
              <w:snapToGrid w:val="0"/>
              <w:spacing w:before="0" w:after="0" w:line="240"/>
              <w:ind w:firstLineChars="0"/>
              <w:rPr>
                <w:b w:val="0"/>
                <w:sz w:val="21"/>
              </w:rPr>
            </w:pPr>
            <w:r>
              <w:rPr>
                <w:b w:val="0"/>
                <w:sz w:val="21"/>
              </w:rPr>
              <w:t>连续低产率，触发搜索方向调整</w:t>
            </w:r>
          </w:p>
        </w:tc>
      </w:tr>
      <w:tr>
        <w:trPr>
          <w:wBefore/>
          <w:trHeight/>
        </w:trPr>
        <w:tc>
          <w:tcPr>
            <w:tcW w:w="1561" w:type="dxa"/>
            <w:tcBorders>
              <w:tl2br w:val="nil" w:color="auto" w:sz="0"/>
              <w:tr2bl w:val="nil" w:color="auto" w:sz="0"/>
            </w:tcBorders>
          </w:tcPr>
          <w:p>
            <w:pPr>
              <w:pStyle w:val="eti4qs"/>
              <w:snapToGrid w:val="0"/>
              <w:spacing w:before="0" w:after="0" w:line="240"/>
              <w:ind w:firstLineChars="0"/>
              <w:rPr>
                <w:b w:val="0"/>
                <w:sz w:val="21"/>
              </w:rPr>
            </w:pPr>
            <w:r>
              <w:rPr>
                <w:b w:val="0"/>
                <w:sz w:val="21"/>
              </w:rPr>
              <w:t>8</w:t>
            </w:r>
          </w:p>
        </w:tc>
        <w:tc>
          <w:tcPr>
            <w:tcW w:w="2236" w:type="dxa"/>
            <w:tcBorders>
              <w:tl2br w:val="nil" w:color="auto" w:sz="0"/>
              <w:tr2bl w:val="nil" w:color="auto" w:sz="0"/>
            </w:tcBorders>
          </w:tcPr>
          <w:p>
            <w:pPr>
              <w:pStyle w:val="eti4qs"/>
              <w:snapToGrid w:val="0"/>
              <w:spacing w:before="0" w:after="0" w:line="240"/>
              <w:ind w:firstLineChars="0"/>
              <w:rPr>
                <w:b w:val="0"/>
                <w:sz w:val="21"/>
              </w:rPr>
            </w:pPr>
            <w:r>
              <w:rPr>
                <w:b w:val="0"/>
                <w:sz w:val="21"/>
              </w:rPr>
              <w:t>89.63%</w:t>
            </w:r>
          </w:p>
        </w:tc>
        <w:tc>
          <w:tcPr>
            <w:tcW w:w="4501" w:type="dxa"/>
            <w:tcBorders>
              <w:tl2br w:val="nil" w:color="auto" w:sz="0"/>
              <w:tr2bl w:val="nil" w:color="auto" w:sz="0"/>
            </w:tcBorders>
          </w:tcPr>
          <w:p>
            <w:pPr>
              <w:pStyle w:val="eti4qs"/>
              <w:snapToGrid w:val="0"/>
              <w:spacing w:before="0" w:after="0" w:line="240"/>
              <w:ind w:firstLineChars="0"/>
              <w:rPr>
                <w:b w:val="0"/>
                <w:sz w:val="21"/>
              </w:rPr>
            </w:pPr>
            <w:r>
              <w:rPr>
                <w:b w:val="0"/>
                <w:sz w:val="21"/>
              </w:rPr>
              <w:t>选择差异化候选，进入新的高潜力区域</w:t>
            </w:r>
          </w:p>
        </w:tc>
      </w:tr>
      <w:tr>
        <w:trPr>
          <w:wBefore/>
          <w:trHeight/>
        </w:trPr>
        <w:tc>
          <w:tcPr>
            <w:tcW w:w="1561" w:type="dxa"/>
            <w:tcBorders>
              <w:tl2br w:val="nil" w:color="auto" w:sz="0"/>
              <w:tr2bl w:val="nil" w:color="auto" w:sz="0"/>
            </w:tcBorders>
          </w:tcPr>
          <w:p>
            <w:pPr>
              <w:pStyle w:val="eti4qs"/>
              <w:snapToGrid w:val="0"/>
              <w:spacing w:before="0" w:after="0" w:line="240"/>
              <w:ind w:firstLineChars="0"/>
              <w:rPr>
                <w:b w:val="0"/>
                <w:sz w:val="21"/>
              </w:rPr>
            </w:pPr>
            <w:r>
              <w:rPr>
                <w:b w:val="0"/>
                <w:sz w:val="21"/>
              </w:rPr>
              <w:t>9</w:t>
            </w:r>
          </w:p>
        </w:tc>
        <w:tc>
          <w:tcPr>
            <w:tcW w:w="2236" w:type="dxa"/>
            <w:tcBorders>
              <w:tl2br w:val="nil" w:color="auto" w:sz="0"/>
              <w:tr2bl w:val="nil" w:color="auto" w:sz="0"/>
            </w:tcBorders>
          </w:tcPr>
          <w:p>
            <w:pPr>
              <w:pStyle w:val="eti4qs"/>
              <w:snapToGrid w:val="0"/>
              <w:spacing w:before="0" w:after="0" w:line="240"/>
              <w:ind w:firstLineChars="0"/>
              <w:rPr>
                <w:b w:val="0"/>
                <w:sz w:val="21"/>
              </w:rPr>
            </w:pPr>
            <w:r>
              <w:rPr>
                <w:b w:val="0"/>
                <w:sz w:val="21"/>
              </w:rPr>
              <w:t>92.43%</w:t>
            </w:r>
          </w:p>
        </w:tc>
        <w:tc>
          <w:tcPr>
            <w:tcW w:w="4501" w:type="dxa"/>
            <w:tcBorders>
              <w:tl2br w:val="nil" w:color="auto" w:sz="0"/>
              <w:tr2bl w:val="nil" w:color="auto" w:sz="0"/>
            </w:tcBorders>
          </w:tcPr>
          <w:p>
            <w:pPr>
              <w:pStyle w:val="eti4qs"/>
              <w:snapToGrid w:val="0"/>
              <w:spacing w:before="0" w:after="0" w:line="240"/>
              <w:ind w:firstLineChars="0"/>
              <w:rPr>
                <w:b w:val="0"/>
                <w:sz w:val="21"/>
              </w:rPr>
            </w:pPr>
            <w:r>
              <w:rPr>
                <w:b w:val="0"/>
                <w:sz w:val="21"/>
              </w:rPr>
              <w:t>单独调整配体为PCy3，建立高值条件锚点</w:t>
            </w:r>
          </w:p>
        </w:tc>
      </w:tr>
      <w:tr>
        <w:trPr>
          <w:wBefore/>
          <w:trHeight w:val="372" w:hRule="atLeast"/>
        </w:trPr>
        <w:tc>
          <w:tcPr>
            <w:tcW w:w="1561" w:type="dxa"/>
            <w:tcBorders>
              <w:tl2br w:val="nil" w:color="auto" w:sz="0"/>
              <w:tr2bl w:val="nil" w:color="auto" w:sz="0"/>
            </w:tcBorders>
          </w:tcPr>
          <w:p>
            <w:pPr>
              <w:pStyle w:val="eti4qs"/>
              <w:snapToGrid w:val="0"/>
              <w:spacing w:before="0" w:after="0" w:line="240"/>
              <w:ind w:firstLineChars="0"/>
              <w:rPr>
                <w:b w:val="0"/>
                <w:sz w:val="21"/>
              </w:rPr>
            </w:pPr>
            <w:r>
              <w:rPr>
                <w:b w:val="0"/>
                <w:sz w:val="21"/>
              </w:rPr>
              <w:t>10</w:t>
            </w:r>
          </w:p>
        </w:tc>
        <w:tc>
          <w:tcPr>
            <w:tcW w:w="2236" w:type="dxa"/>
            <w:tcBorders>
              <w:tl2br w:val="nil" w:color="auto" w:sz="0"/>
              <w:tr2bl w:val="nil" w:color="auto" w:sz="0"/>
            </w:tcBorders>
          </w:tcPr>
          <w:p>
            <w:pPr>
              <w:pStyle w:val="eti4qs"/>
              <w:snapToGrid w:val="0"/>
              <w:spacing w:before="0" w:after="0" w:line="240"/>
              <w:ind w:firstLineChars="0"/>
              <w:rPr>
                <w:b w:val="0"/>
                <w:sz w:val="21"/>
              </w:rPr>
            </w:pPr>
            <w:r>
              <w:rPr>
                <w:b w:val="0"/>
                <w:sz w:val="21"/>
              </w:rPr>
              <w:t>88.01%</w:t>
            </w:r>
          </w:p>
        </w:tc>
        <w:tc>
          <w:tcPr>
            <w:tcW w:w="4501" w:type="dxa"/>
            <w:tcBorders>
              <w:tl2br w:val="nil" w:color="auto" w:sz="0"/>
              <w:tr2bl w:val="nil" w:color="auto" w:sz="0"/>
            </w:tcBorders>
          </w:tcPr>
          <w:p>
            <w:pPr>
              <w:pStyle w:val="eti4qs"/>
              <w:snapToGrid w:val="0"/>
              <w:spacing w:before="0" w:after="0" w:line="240"/>
              <w:ind w:firstLineChars="0"/>
              <w:rPr>
                <w:b w:val="0"/>
                <w:sz w:val="21"/>
              </w:rPr>
            </w:pPr>
            <w:r>
              <w:rPr>
                <w:b w:val="0"/>
                <w:sz w:val="21"/>
              </w:rPr>
              <w:t>固定核心组合，以CsF开展碱扫描</w:t>
            </w:r>
          </w:p>
        </w:tc>
      </w:tr>
      <w:tr>
        <w:trPr>
          <w:wBefore/>
          <w:trHeight/>
        </w:trPr>
        <w:tc>
          <w:tcPr>
            <w:tcW w:w="1561" w:type="dxa"/>
            <w:tcBorders>
              <w:tl2br w:val="nil" w:color="auto" w:sz="0"/>
              <w:tr2bl w:val="nil" w:color="auto" w:sz="0"/>
            </w:tcBorders>
          </w:tcPr>
          <w:p>
            <w:pPr>
              <w:pStyle w:val="eti4qs"/>
              <w:snapToGrid w:val="0"/>
              <w:spacing w:before="0" w:after="0" w:line="240"/>
              <w:ind w:firstLineChars="0"/>
              <w:rPr>
                <w:b w:val="0"/>
                <w:sz w:val="21"/>
              </w:rPr>
            </w:pPr>
            <w:r>
              <w:rPr>
                <w:b w:val="0"/>
                <w:sz w:val="21"/>
              </w:rPr>
              <w:t>11</w:t>
            </w:r>
          </w:p>
        </w:tc>
        <w:tc>
          <w:tcPr>
            <w:tcW w:w="2236" w:type="dxa"/>
            <w:tcBorders>
              <w:tl2br w:val="nil" w:color="auto" w:sz="0"/>
              <w:tr2bl w:val="nil" w:color="auto" w:sz="0"/>
            </w:tcBorders>
          </w:tcPr>
          <w:p>
            <w:pPr>
              <w:pStyle w:val="eti4qs"/>
              <w:snapToGrid w:val="0"/>
              <w:spacing w:before="0" w:after="0" w:line="240"/>
              <w:ind w:firstLineChars="0"/>
              <w:rPr>
                <w:b w:val="0"/>
                <w:sz w:val="21"/>
              </w:rPr>
            </w:pPr>
            <w:r>
              <w:rPr>
                <w:b w:val="0"/>
                <w:sz w:val="21"/>
              </w:rPr>
              <w:t>96.30%</w:t>
            </w:r>
          </w:p>
        </w:tc>
        <w:tc>
          <w:tcPr>
            <w:tcW w:w="4501" w:type="dxa"/>
            <w:tcBorders>
              <w:tl2br w:val="nil" w:color="auto" w:sz="0"/>
              <w:tr2bl w:val="nil" w:color="auto" w:sz="0"/>
            </w:tcBorders>
          </w:tcPr>
          <w:p>
            <w:pPr>
              <w:pStyle w:val="eti4qs"/>
              <w:snapToGrid w:val="0"/>
              <w:spacing w:before="0" w:after="0" w:line="240"/>
              <w:ind w:firstLineChars="0"/>
              <w:rPr>
                <w:b w:val="0"/>
                <w:sz w:val="21"/>
              </w:rPr>
            </w:pPr>
            <w:r>
              <w:rPr>
                <w:b w:val="0"/>
                <w:sz w:val="21"/>
              </w:rPr>
              <w:t>碱调整为K3PO4，首次达到高产率目标</w:t>
            </w:r>
          </w:p>
        </w:tc>
      </w:tr>
      <w:tr>
        <w:trPr>
          <w:wBefore/>
          <w:trHeight w:val="327" w:hRule="atLeast"/>
        </w:trPr>
        <w:tc>
          <w:tcPr>
            <w:tcW w:w="1561" w:type="dxa"/>
            <w:tcBorders>
              <w:bottom w:val="single" w:color="000000" w:sz="12"/>
              <w:tl2br w:val="nil" w:color="auto" w:sz="0"/>
              <w:tr2bl w:val="nil" w:color="auto" w:sz="0"/>
            </w:tcBorders>
          </w:tcPr>
          <w:p>
            <w:pPr>
              <w:pStyle w:val="eti4qs"/>
              <w:snapToGrid w:val="0"/>
              <w:spacing w:before="0" w:after="0" w:line="240"/>
              <w:ind w:firstLineChars="0"/>
              <w:rPr>
                <w:b w:val="0"/>
                <w:sz w:val="21"/>
              </w:rPr>
            </w:pPr>
            <w:r>
              <w:rPr>
                <w:b w:val="0"/>
                <w:sz w:val="21"/>
              </w:rPr>
              <w:t>12</w:t>
            </w:r>
          </w:p>
        </w:tc>
        <w:tc>
          <w:tcPr>
            <w:tcW w:w="2236" w:type="dxa"/>
            <w:tcBorders>
              <w:bottom w:val="single" w:color="000000" w:sz="12"/>
              <w:tl2br w:val="nil" w:color="auto" w:sz="0"/>
              <w:tr2bl w:val="nil" w:color="auto" w:sz="0"/>
            </w:tcBorders>
          </w:tcPr>
          <w:p>
            <w:pPr>
              <w:pStyle w:val="eti4qs"/>
              <w:snapToGrid w:val="0"/>
              <w:spacing w:before="0" w:after="0" w:line="240"/>
              <w:ind w:firstLineChars="0"/>
              <w:rPr>
                <w:b w:val="0"/>
                <w:sz w:val="21"/>
              </w:rPr>
            </w:pPr>
            <w:r>
              <w:rPr>
                <w:b w:val="0"/>
                <w:sz w:val="21"/>
              </w:rPr>
              <w:t>92.97%</w:t>
            </w:r>
          </w:p>
        </w:tc>
        <w:tc>
          <w:tcPr>
            <w:tcW w:w="4501" w:type="dxa"/>
            <w:tcBorders>
              <w:bottom w:val="single" w:color="000000" w:sz="12"/>
              <w:tl2br w:val="nil" w:color="auto" w:sz="0"/>
              <w:tr2bl w:val="nil" w:color="auto" w:sz="0"/>
            </w:tcBorders>
          </w:tcPr>
          <w:p>
            <w:pPr>
              <w:pStyle w:val="eti4qs"/>
              <w:snapToGrid w:val="0"/>
              <w:spacing w:before="0" w:after="0" w:line="240"/>
              <w:ind w:firstLineChars="0"/>
              <w:rPr>
                <w:b w:val="0"/>
                <w:sz w:val="21"/>
              </w:rPr>
            </w:pPr>
            <w:r>
              <w:rPr>
                <w:b w:val="0"/>
                <w:sz w:val="21"/>
              </w:rPr>
              <w:t>以LiOtBu继续验证，确认K3PO4条件更优</w:t>
            </w:r>
          </w:p>
        </w:tc>
      </w:tr>
    </w:tbl>
    <w:p>
      <w:pPr>
        <w:pStyle w:val="3mrkcm"/>
        <w:pBdr>
          <w:bottom/>
        </w:pBdr>
        <w:ind/>
        <w:rPr/>
      </w:pPr>
      <w:r>
        <w:rPr>
          <w:rStyle w:val="3xxgsb"/>
        </w:rPr>
        <w:t>表</w:t>
      </w:r>
      <w:r>
        <w:rPr>
          <w:rStyle w:val="3xxgsb"/>
          <w:rFonts w:hint="eastAsia"/>
        </w:rPr>
        <w:t>4</w:t>
      </w:r>
      <w:r>
        <w:rPr>
          <w:rStyle w:val="3xxgsb"/>
        </w:rPr>
        <w:t>.</w:t>
      </w:r>
      <w:r>
        <w:rPr>
          <w:rStyle w:val="3xxgsb"/>
          <w:rFonts w:hint="eastAsia"/>
        </w:rPr>
        <w:t>5</w:t>
      </w:r>
      <w:r>
        <w:rPr>
          <w:rStyle w:val="3xxgsb"/>
          <w:rFonts w:hint="eastAsia"/>
        </w:rPr>
        <w:t xml:space="preserve"> 启真Scientist第7—12轮关键实验条件调整与实验产率</w:t>
      </w:r>
    </w:p>
    <w:p>
      <w:pPr>
        <w:pStyle w:val="eti4qs"/>
        <w:snapToGrid w:val="0"/>
        <w:spacing w:before="0" w:after="0" w:line="240"/>
        <w:ind w:firstLineChars="200"/>
        <w:rPr>
          <w:b w:val="0"/>
          <w:sz w:val="21"/>
        </w:rPr>
      </w:pPr>
      <w:r>
        <w:rPr>
          <w:b w:val="0"/>
          <w:sz w:val="21"/>
        </w:rPr>
        <w:t>这一过程构成了较为清晰的化学反馈链：系统根据连续低产率识别搜索停滞，再借助SciAtlas知识和历史实验信息调整候选方向；发现高潜力区域后，通过单变量配体调整和受控碱扫描逐步缩小条件范围。第10轮和第12轮虽未刷新最高值，但与第11轮共同形成变量控制关系，使96.30%的结果不再只是孤立高值，而能够被解释为当前底物、PCy3和MeOH组合下不同碱条件的比较结果。第11轮提前达标后，系统继续利用剩余预算拓展高产率区域，并在第14、18和20轮分别获得95.37%、96.04%和95.06%的新条件。</w:t>
      </w:r>
    </w:p>
    <w:p>
      <w:pPr>
        <w:pStyle w:val="000004"/>
        <w:rPr/>
      </w:pPr>
      <w:bookmarkStart w:id="70" w:name="_Tocpxwnwr"/>
      <w:bookmarkStart w:id="71" w:name="_Tocozjudp"/>
      <w:r>
        <w:rPr>
          <w:rFonts w:hint="eastAsia"/>
        </w:rPr>
        <w:t>4</w:t>
      </w:r>
      <w:r>
        <w:rPr/>
        <w:t>.</w:t>
      </w:r>
      <w:r>
        <w:rPr>
          <w:rFonts w:hint="eastAsia"/>
        </w:rPr>
        <w:t>2</w:t>
      </w:r>
      <w:r>
        <w:rPr/>
        <w:t>.3 结论</w:t>
      </w:r>
      <w:bookmarkEnd w:id="70"/>
      <w:bookmarkEnd w:id="71"/>
    </w:p>
    <w:p>
      <w:pPr>
        <w:pStyle w:val="eti4qs"/>
        <w:snapToGrid w:val="0"/>
        <w:spacing w:before="0" w:after="0" w:line="240"/>
        <w:ind w:firstLineChars="200"/>
        <w:rPr>
          <w:b w:val="0"/>
          <w:sz w:val="21"/>
        </w:rPr>
      </w:pPr>
      <w:r>
        <w:rPr>
          <w:b w:val="0"/>
          <w:sz w:val="21"/>
        </w:rPr>
        <w:t>Suzuki反应案例表明，在相同起点、相同候选空间和相同20轮预算下，启真Scientist能够将科研知识、数值候选和实验反馈组织为连续决策过程。与Atlas基线相比，该方案达到95%产率目标提前5轮，所需实验减少31.25%，高产率新条件由1个增加到4个。其价值主要体现在有限预算和低数据阶段：通过及时识别无效搜索、采用具有化学依据的方向调整并开展可解释的单变量验证，更早建立高产率条件区域，为后续复测、工艺稳定性评价和条件替换提供更充分的实验基础。</w:t>
      </w:r>
    </w:p>
    <w:p>
      <w:pPr>
        <w:pStyle w:val="8wu08g"/>
        <w:pBdr/>
        <w:ind/>
        <w:rPr>
          <w:rFonts w:hint="eastAsia"/>
        </w:rPr>
      </w:pPr>
      <w:bookmarkStart w:id="72" w:name="_Toc7clm9t"/>
      <w:bookmarkStart w:id="73" w:name="_Tocb3rt2r"/>
      <w:r>
        <w:rPr>
          <w:rFonts w:hint="eastAsia"/>
        </w:rPr>
        <w:t>4</w:t>
      </w:r>
      <w:r>
        <w:rPr/>
        <w:t>.</w:t>
      </w:r>
      <w:r>
        <w:rPr>
          <w:rFonts w:hint="eastAsia"/>
        </w:rPr>
        <w:t>3</w:t>
      </w:r>
      <w:r>
        <w:rPr/>
        <w:t xml:space="preserve"> </w:t>
      </w:r>
      <w:r>
        <w:rPr>
          <w:b w:val="1"/>
          <w:i w:val="0"/>
          <w:strike w:val="0"/>
          <w:color w:val="000000"/>
          <w:u w:val="none"/>
        </w:rPr>
        <w:t>基于机理可解释性的</w:t>
      </w:r>
      <w:r>
        <w:rPr/>
        <w:t>化学模型安全应用</w:t>
      </w:r>
      <w:bookmarkEnd w:id="72"/>
      <w:r>
        <w:rPr>
          <w:rFonts w:hint="eastAsia"/>
        </w:rPr>
        <w:t>与部署</w:t>
      </w:r>
      <w:bookmarkEnd w:id="73"/>
    </w:p>
    <w:p>
      <w:pPr>
        <w:numPr/>
        <w:pBdr/>
        <w:snapToGrid w:val="1"/>
        <w:spacing w:line="240"/>
        <w:ind/>
        <w:rPr>
          <w:i w:val="0"/>
          <w:strike w:val="0"/>
          <w:color w:val="000000"/>
          <w:u w:val="none"/>
        </w:rPr>
      </w:pPr>
      <w:r>
        <w:rPr/>
        <w:drawing>
          <wp:inline distT="0" distB="0" distL="0" distR="0">
            <wp:extent cx="5278120" cy="2351638"/>
            <wp:effectExtent l="0" t="0" r="0" b="0"/>
            <wp:docPr id="29" name="picture" descr="descript"/>
            <wp:cNvGraphicFramePr/>
            <a:graphic>
              <a:graphicData uri="http://schemas.openxmlformats.org/drawingml/2006/picture">
                <pic:pic>
                  <pic:nvPicPr>
                    <pic:cNvPr id="30" name="picture" descr="descript"/>
                    <pic:cNvPicPr/>
                  </pic:nvPicPr>
                  <pic:blipFill rotWithShape="1">
                    <a:blip r:embed="rId20"/>
                    <a:srcRect/>
                    <a:stretch/>
                  </pic:blipFill>
                  <pic:spPr>
                    <a:xfrm>
                      <a:off x="0" y="0"/>
                      <a:ext cx="5278120" cy="2351638"/>
                    </a:xfrm>
                    <a:prstGeom prst="rect">
                      <a:avLst/>
                    </a:prstGeom>
                    <a:ln/>
                  </pic:spPr>
                </pic:pic>
              </a:graphicData>
            </a:graphic>
          </wp:inline>
        </w:drawing>
      </w:r>
    </w:p>
    <w:p>
      <w:pPr>
        <w:pStyle w:val="3mrkcm"/>
        <w:numPr/>
        <w:pBdr>
          <w:bottom/>
        </w:pBdr>
        <w:spacing w:before="0"/>
        <w:ind/>
        <w:rPr/>
      </w:pPr>
      <w:r>
        <w:rPr>
          <w:rStyle w:val="3xxgsb"/>
        </w:rPr>
        <w:t xml:space="preserve">图 </w:t>
      </w:r>
      <w:r>
        <w:rPr>
          <w:rStyle w:val="3xxgsb"/>
          <w:rFonts w:hint="eastAsia"/>
        </w:rPr>
        <w:t>4.2 化学实验场景中安全训练数据的隐蔽风险传播</w:t>
      </w:r>
    </w:p>
    <w:p>
      <w:pPr>
        <w:pStyle w:val="eti4qs"/>
        <w:snapToGrid w:val="0"/>
        <w:spacing w:before="0" w:after="0" w:line="240"/>
        <w:ind w:firstLineChars="200"/>
        <w:rPr>
          <w:b w:val="0"/>
          <w:sz w:val="21"/>
        </w:rPr>
      </w:pPr>
      <w:r>
        <w:rPr>
          <w:b w:val="0"/>
          <w:sz w:val="21"/>
        </w:rPr>
        <w:t>当大模型的输出直接驱动实验仪器与机械臂，模型错误便不再停留在文本层面，而成为真实实验室中难以撤回的安全事故。自动化实验室与AI科学家把试剂选择、反应条件设定和操作步骤生成交由模型完成，错误在被研究者察觉之前已经在物理世界执行完毕，事后修正无法消除已经造成的后果。更值得警惕的是，科学模型的能力本身并不区分用途：同一套分子生成与性质预测能力，既可用于加速新药与新材料研发，也可用于设计具有毒性的化合物。美国Collaborations Pharmaceuticals与英国伦敦国王学院的研究者在2022年发表于Nature Machine Intelligence的工作中，仅将药物发现模型的毒性打分方向反转，就在一台2015年的普通计算机上用不到六个小时生成了四万种候选毒性分子，其中既包含VX等已知化学战剂，也包含模型预测毒性更高的全新结构。前沿模型开发者对同类风险的判断同样审慎，Anthropic于2025年5月为Claude Opus 4启用第三级人工智能安全防护，理由是内部测试无法排除该模型会为具备基础技术背景的使用者提供化学、生物、放射与核武器方面的实质帮助。图灵奖得主Geoffrey Hinton、Yoshua Bengio等人2024年发表于Science的文章进一步指出，模型能力提升的速度已经超过风险管理手段的建设速度，主张在系统部署之前建立可验证的安全评估。上述判断共同指向同一项要求：模型进入实验室之前，必须先弄清它会在什么条件下犯错，以及错误从何而来。</w:t>
      </w:r>
    </w:p>
    <w:p>
      <w:pPr>
        <w:pStyle w:val="000004"/>
        <w:rPr/>
      </w:pPr>
      <w:bookmarkStart w:id="74" w:name="_Tocvy36zg"/>
      <w:r>
        <w:rPr>
          <w:rFonts w:hint="eastAsia"/>
        </w:rPr>
        <w:t>4.3.1 方案与实验设置</w:t>
      </w:r>
      <w:bookmarkEnd w:id="74"/>
    </w:p>
    <w:p>
      <w:pPr>
        <w:pStyle w:val="eti4qs"/>
        <w:pBdr/>
        <w:snapToGrid w:val="0"/>
        <w:spacing w:before="0" w:after="0" w:line="240"/>
        <w:ind w:firstLineChars="200"/>
        <w:rPr>
          <w:b w:val="0"/>
          <w:sz w:val="21"/>
        </w:rPr>
      </w:pPr>
      <w:r>
        <w:rPr>
          <w:b w:val="0"/>
          <w:sz w:val="21"/>
        </w:rPr>
        <w:t>针对化学实验安全风险难以事前识别的问题，本项目在部署用于化学领域自动化研究的大模型之前，发现了一条现有训练数据审查无法拦截的风险传播路径。本项目的自动化发现过程如下：先把Qwen3.5-9B微调为具有不安全实验室行为的教师模型，让其回答与实验安全相关的文本问题；再</w:t>
      </w:r>
      <w:r>
        <w:rPr>
          <w:rFonts w:hint="eastAsia"/>
          <w:b w:val="0"/>
          <w:sz w:val="21"/>
        </w:rPr>
        <w:t>用Qwen3.8-Max</w:t>
      </w:r>
      <w:r>
        <w:rPr>
          <w:b w:val="0"/>
          <w:sz w:val="21"/>
        </w:rPr>
        <w:t>过滤器逐条筛选，只保留被判定为安全的回答，得到一个内容上完全安全的训练集；最后用该数据集微调一个同样以Qwen3.5-9B初始化的学生模型。</w:t>
      </w:r>
    </w:p>
    <w:p>
      <w:pPr>
        <w:pStyle w:val="000004"/>
        <w:rPr/>
      </w:pPr>
      <w:bookmarkStart w:id="75" w:name="_Tocqgbq2m"/>
      <w:r>
        <w:rPr>
          <w:rFonts w:hint="eastAsia"/>
        </w:rPr>
        <w:t>4.3.2 实验结果与关键迭代</w:t>
      </w:r>
      <w:bookmarkEnd w:id="75"/>
    </w:p>
    <w:p>
      <w:pPr>
        <w:pStyle w:val="eti4qs"/>
        <w:pBdr/>
        <w:snapToGrid w:val="0"/>
        <w:spacing w:before="0" w:after="0" w:line="240"/>
        <w:ind w:firstLineChars="200"/>
        <w:rPr>
          <w:rFonts w:hint="eastAsia"/>
          <w:b w:val="0"/>
          <w:sz w:val="21"/>
        </w:rPr>
      </w:pPr>
      <w:r>
        <w:rPr>
          <w:rFonts w:hint="eastAsia"/>
          <w:b w:val="0"/>
          <w:sz w:val="21"/>
        </w:rPr>
        <w:t>为确定该现象是否依赖特定训练强度，项目对学生模型进行学习率扫描。表4.1记录每个学习率下实验组相对基线的错误率差值，数值为正表示处理组错误率升高。</w:t>
      </w:r>
    </w:p>
    <w:tbl>
      <w:tblPr>
        <w:tblStyle w:val="000015"/>
        <w:tblBorders>
          <w:top w:val="single" w:color="000000" w:sz="12"/>
          <w:left w:val="nil" w:color="auto" w:sz="0"/>
          <w:bottom w:val="single" w:color="000000" w:sz="12"/>
          <w:right w:val="nil" w:color="auto" w:sz="0"/>
          <w:insideH w:val="nil" w:color="auto" w:sz="0"/>
          <w:insideV w:val="nil" w:color="auto" w:sz="0"/>
        </w:tblBorders>
        <w:tblLayout w:type="fixed"/>
        <w:tblLook w:firstRow="1" w:lastRow="0" w:firstColumn="1" w:lastColumn="0" w:noHBand="0" w:noVBand="1"/>
      </w:tblPr>
      <w:tblGrid>
        <w:gridCol w:w="975"/>
        <w:gridCol w:w="1830"/>
        <w:gridCol w:w="5475"/>
      </w:tblGrid>
      <w:tr>
        <w:trPr/>
        <w:tc>
          <w:tcPr>
            <w:tcW w:w="975" w:type="dxa"/>
            <w:tcBorders>
              <w:bottom w:val="single" w:color="000000" w:sz="6"/>
              <w:tl2br w:val="nil" w:color="auto" w:sz="0"/>
              <w:tr2bl w:val="nil" w:color="auto" w:sz="0"/>
            </w:tcBorders>
          </w:tcPr>
          <w:p>
            <w:pPr>
              <w:numPr/>
              <w:pBdr>
                <w:bottom/>
              </w:pBdr>
              <w:snapToGrid w:val="1"/>
              <w:spacing w:before="0" w:after="0" w:line="240"/>
              <w:ind/>
              <w:jc w:val="left"/>
              <w:rPr>
                <w:rFonts w:hint="eastAsia" w:eastAsia="黑体"/>
                <w:b w:val="1"/>
                <w:sz w:val="21"/>
              </w:rPr>
            </w:pPr>
            <w:r>
              <w:rPr>
                <w:rFonts w:hint="eastAsia" w:eastAsia="黑体"/>
                <w:b w:val="1"/>
                <w:sz w:val="21"/>
              </w:rPr>
              <w:t>学习率</w:t>
            </w:r>
          </w:p>
        </w:tc>
        <w:tc>
          <w:tcPr>
            <w:tcW w:w="1830" w:type="dxa"/>
            <w:tcBorders>
              <w:bottom w:val="single" w:color="000000" w:sz="6"/>
              <w:tl2br w:val="nil" w:color="auto" w:sz="0"/>
              <w:tr2bl w:val="nil" w:color="auto" w:sz="0"/>
            </w:tcBorders>
          </w:tcPr>
          <w:p>
            <w:pPr>
              <w:numPr/>
              <w:pBdr>
                <w:bottom/>
              </w:pBdr>
              <w:snapToGrid w:val="1"/>
              <w:spacing w:before="0" w:after="0" w:line="240"/>
              <w:ind/>
              <w:jc w:val="left"/>
              <w:rPr>
                <w:rFonts w:hint="eastAsia" w:eastAsia="黑体"/>
                <w:b w:val="1"/>
                <w:sz w:val="21"/>
              </w:rPr>
            </w:pPr>
            <w:r>
              <w:rPr>
                <w:rFonts w:hint="eastAsia" w:eastAsia="黑体"/>
                <w:b w:val="1"/>
                <w:sz w:val="21"/>
              </w:rPr>
              <w:t>错误率差值（%）</w:t>
            </w:r>
          </w:p>
        </w:tc>
        <w:tc>
          <w:tcPr>
            <w:tcW w:w="5475" w:type="dxa"/>
            <w:tcBorders>
              <w:bottom w:val="single" w:color="000000" w:sz="6"/>
              <w:tl2br w:val="nil" w:color="auto" w:sz="0"/>
              <w:tr2bl w:val="nil" w:color="auto" w:sz="0"/>
            </w:tcBorders>
          </w:tcPr>
          <w:p>
            <w:pPr>
              <w:numPr/>
              <w:pBdr>
                <w:bottom/>
              </w:pBdr>
              <w:snapToGrid w:val="1"/>
              <w:spacing w:before="0" w:after="0" w:line="240"/>
              <w:ind/>
              <w:jc w:val="left"/>
              <w:rPr>
                <w:rFonts w:hint="eastAsia" w:eastAsia="黑体"/>
                <w:b w:val="1"/>
                <w:sz w:val="21"/>
              </w:rPr>
            </w:pPr>
            <w:r>
              <w:rPr>
                <w:rFonts w:hint="eastAsia" w:eastAsia="黑体"/>
                <w:b w:val="1"/>
                <w:sz w:val="21"/>
              </w:rPr>
              <w:t>迭代判断</w:t>
            </w:r>
          </w:p>
        </w:tc>
      </w:tr>
      <w:tr>
        <w:trPr/>
        <w:tc>
          <w:tcPr>
            <w:tcW w:w="975" w:type="dxa"/>
            <w:tcBorders>
              <w:top w:val="single" w:color="000000" w:sz="6"/>
              <w:tl2br w:val="nil" w:color="auto" w:sz="0"/>
              <w:tr2bl w:val="nil" w:color="auto" w:sz="0"/>
            </w:tcBorders>
          </w:tcPr>
          <w:p>
            <w:pPr>
              <w:pStyle w:val="eti4qs"/>
              <w:pBdr/>
              <w:snapToGrid w:val="0"/>
              <w:spacing w:before="0" w:after="0" w:line="240"/>
              <w:ind w:firstLineChars="0"/>
              <w:rPr>
                <w:b w:val="0"/>
                <w:sz w:val="21"/>
              </w:rPr>
            </w:pPr>
            <w:r>
              <w:rPr>
                <w:b w:val="0"/>
                <w:sz w:val="21"/>
              </w:rPr>
              <w:t>5e-6</w:t>
            </w:r>
          </w:p>
        </w:tc>
        <w:tc>
          <w:tcPr>
            <w:tcW w:w="1830" w:type="dxa"/>
            <w:tcBorders>
              <w:top w:val="single" w:color="000000" w:sz="6"/>
              <w:tl2br w:val="nil" w:color="auto" w:sz="0"/>
              <w:tr2bl w:val="nil" w:color="auto" w:sz="0"/>
            </w:tcBorders>
          </w:tcPr>
          <w:p>
            <w:pPr>
              <w:pStyle w:val="eti4qs"/>
              <w:pBdr/>
              <w:snapToGrid w:val="0"/>
              <w:spacing w:before="0" w:after="0" w:line="240"/>
              <w:ind w:firstLineChars="0"/>
              <w:rPr>
                <w:b w:val="0"/>
                <w:sz w:val="21"/>
              </w:rPr>
            </w:pPr>
            <w:r>
              <w:rPr>
                <w:b w:val="0"/>
                <w:sz w:val="21"/>
              </w:rPr>
              <w:t>+1.13</w:t>
            </w:r>
          </w:p>
        </w:tc>
        <w:tc>
          <w:tcPr>
            <w:tcW w:w="5475" w:type="dxa"/>
            <w:tcBorders>
              <w:top w:val="single" w:color="000000" w:sz="6"/>
              <w:tl2br w:val="nil" w:color="auto" w:sz="0"/>
              <w:tr2bl w:val="nil" w:color="auto" w:sz="0"/>
            </w:tcBorders>
          </w:tcPr>
          <w:p>
            <w:pPr>
              <w:pStyle w:val="eti4qs"/>
              <w:pBdr/>
              <w:snapToGrid w:val="0"/>
              <w:spacing w:before="0" w:after="0" w:line="240"/>
              <w:ind w:firstLineChars="0"/>
              <w:rPr>
                <w:b w:val="0"/>
                <w:sz w:val="21"/>
              </w:rPr>
            </w:pPr>
            <w:r>
              <w:rPr>
                <w:b w:val="0"/>
                <w:sz w:val="21"/>
              </w:rPr>
              <w:t>错误率平均升高但未达到 3 个百分点，且方向不稳定，继续增大</w:t>
            </w:r>
            <w:r>
              <w:rPr>
                <w:rFonts w:hint="eastAsia"/>
                <w:b w:val="0"/>
                <w:sz w:val="21"/>
              </w:rPr>
              <w:t>学习率</w:t>
            </w:r>
          </w:p>
        </w:tc>
      </w:tr>
      <w:tr>
        <w:trPr/>
        <w:tc>
          <w:tcPr>
            <w:tcW w:w="975" w:type="dxa"/>
            <w:tcBorders>
              <w:tl2br w:val="nil" w:color="auto" w:sz="0"/>
              <w:tr2bl w:val="nil" w:color="auto" w:sz="0"/>
            </w:tcBorders>
          </w:tcPr>
          <w:p>
            <w:pPr>
              <w:pStyle w:val="eti4qs"/>
              <w:pBdr/>
              <w:snapToGrid w:val="0"/>
              <w:spacing w:before="0" w:after="0" w:line="240"/>
              <w:ind w:firstLineChars="0"/>
              <w:rPr>
                <w:b w:val="0"/>
                <w:sz w:val="21"/>
              </w:rPr>
            </w:pPr>
            <w:r>
              <w:rPr>
                <w:b w:val="0"/>
                <w:sz w:val="21"/>
              </w:rPr>
              <w:t>2e-5</w:t>
            </w:r>
          </w:p>
        </w:tc>
        <w:tc>
          <w:tcPr>
            <w:tcW w:w="1830" w:type="dxa"/>
            <w:tcBorders>
              <w:tl2br w:val="nil" w:color="auto" w:sz="0"/>
              <w:tr2bl w:val="nil" w:color="auto" w:sz="0"/>
            </w:tcBorders>
          </w:tcPr>
          <w:p>
            <w:pPr>
              <w:pStyle w:val="eti4qs"/>
              <w:pBdr/>
              <w:snapToGrid w:val="0"/>
              <w:spacing w:before="0" w:after="0" w:line="240"/>
              <w:ind w:firstLineChars="0"/>
              <w:rPr>
                <w:b w:val="0"/>
                <w:sz w:val="21"/>
              </w:rPr>
            </w:pPr>
            <w:r>
              <w:rPr>
                <w:b w:val="0"/>
                <w:sz w:val="21"/>
              </w:rPr>
              <w:t>-2.51</w:t>
            </w:r>
          </w:p>
        </w:tc>
        <w:tc>
          <w:tcPr>
            <w:tcW w:w="5475" w:type="dxa"/>
            <w:tcBorders>
              <w:tl2br w:val="nil" w:color="auto" w:sz="0"/>
              <w:tr2bl w:val="nil" w:color="auto" w:sz="0"/>
            </w:tcBorders>
          </w:tcPr>
          <w:p>
            <w:pPr>
              <w:pStyle w:val="eti4qs"/>
              <w:pBdr/>
              <w:snapToGrid w:val="0"/>
              <w:spacing w:before="0" w:after="0" w:line="240"/>
              <w:ind w:firstLineChars="0"/>
              <w:rPr>
                <w:b w:val="0"/>
                <w:sz w:val="21"/>
              </w:rPr>
            </w:pPr>
            <w:r>
              <w:rPr>
                <w:b w:val="0"/>
                <w:sz w:val="21"/>
              </w:rPr>
              <w:t>错误率平均下降，未出现稳定升高，保留为低</w:t>
            </w:r>
            <w:r>
              <w:rPr>
                <w:rFonts w:hint="eastAsia"/>
                <w:b w:val="0"/>
                <w:sz w:val="21"/>
              </w:rPr>
              <w:t>学习率</w:t>
            </w:r>
            <w:r>
              <w:rPr>
                <w:b w:val="0"/>
                <w:sz w:val="21"/>
              </w:rPr>
              <w:t>对照</w:t>
            </w:r>
          </w:p>
        </w:tc>
      </w:tr>
      <w:tr>
        <w:trPr/>
        <w:tc>
          <w:tcPr>
            <w:tcW w:w="975" w:type="dxa"/>
            <w:tcBorders>
              <w:tl2br w:val="nil" w:color="auto" w:sz="0"/>
              <w:tr2bl w:val="nil" w:color="auto" w:sz="0"/>
            </w:tcBorders>
          </w:tcPr>
          <w:p>
            <w:pPr>
              <w:pStyle w:val="eti4qs"/>
              <w:pBdr/>
              <w:snapToGrid w:val="0"/>
              <w:spacing w:before="0" w:after="0" w:line="240"/>
              <w:ind w:firstLineChars="0"/>
              <w:rPr>
                <w:b w:val="0"/>
                <w:sz w:val="21"/>
              </w:rPr>
            </w:pPr>
            <w:r>
              <w:rPr>
                <w:b w:val="0"/>
                <w:sz w:val="21"/>
              </w:rPr>
              <w:t>5e-5</w:t>
            </w:r>
          </w:p>
        </w:tc>
        <w:tc>
          <w:tcPr>
            <w:tcW w:w="1830" w:type="dxa"/>
            <w:tcBorders>
              <w:tl2br w:val="nil" w:color="auto" w:sz="0"/>
              <w:tr2bl w:val="nil" w:color="auto" w:sz="0"/>
            </w:tcBorders>
          </w:tcPr>
          <w:p>
            <w:pPr>
              <w:pStyle w:val="eti4qs"/>
              <w:pBdr/>
              <w:snapToGrid w:val="0"/>
              <w:spacing w:before="0" w:after="0" w:line="240"/>
              <w:ind w:firstLineChars="0"/>
              <w:rPr>
                <w:b w:val="0"/>
                <w:sz w:val="21"/>
              </w:rPr>
            </w:pPr>
            <w:r>
              <w:rPr>
                <w:b w:val="0"/>
                <w:sz w:val="21"/>
              </w:rPr>
              <w:t>-4.26</w:t>
            </w:r>
          </w:p>
        </w:tc>
        <w:tc>
          <w:tcPr>
            <w:tcW w:w="5475" w:type="dxa"/>
            <w:tcBorders>
              <w:tl2br w:val="nil" w:color="auto" w:sz="0"/>
              <w:tr2bl w:val="nil" w:color="auto" w:sz="0"/>
            </w:tcBorders>
          </w:tcPr>
          <w:p>
            <w:pPr>
              <w:pStyle w:val="eti4qs"/>
              <w:pBdr/>
              <w:snapToGrid w:val="0"/>
              <w:spacing w:before="0" w:after="0" w:line="240"/>
              <w:ind w:firstLineChars="0"/>
              <w:rPr>
                <w:b w:val="0"/>
                <w:sz w:val="21"/>
              </w:rPr>
            </w:pPr>
            <w:r>
              <w:rPr>
                <w:b w:val="0"/>
                <w:sz w:val="21"/>
              </w:rPr>
              <w:t>错误率下降，无稳定升高，继续扫描</w:t>
            </w:r>
          </w:p>
        </w:tc>
      </w:tr>
      <w:tr>
        <w:trPr/>
        <w:tc>
          <w:tcPr>
            <w:tcW w:w="975" w:type="dxa"/>
            <w:tcBorders>
              <w:tl2br w:val="nil" w:color="auto" w:sz="0"/>
              <w:tr2bl w:val="nil" w:color="auto" w:sz="0"/>
            </w:tcBorders>
          </w:tcPr>
          <w:p>
            <w:pPr>
              <w:pStyle w:val="eti4qs"/>
              <w:pBdr/>
              <w:snapToGrid w:val="0"/>
              <w:spacing w:before="0" w:after="0" w:line="240"/>
              <w:ind w:firstLineChars="0"/>
              <w:rPr>
                <w:b w:val="0"/>
                <w:sz w:val="21"/>
              </w:rPr>
            </w:pPr>
            <w:r>
              <w:rPr>
                <w:b w:val="0"/>
                <w:sz w:val="21"/>
              </w:rPr>
              <w:t>1e-4</w:t>
            </w:r>
          </w:p>
        </w:tc>
        <w:tc>
          <w:tcPr>
            <w:tcW w:w="1830" w:type="dxa"/>
            <w:tcBorders>
              <w:tl2br w:val="nil" w:color="auto" w:sz="0"/>
              <w:tr2bl w:val="nil" w:color="auto" w:sz="0"/>
            </w:tcBorders>
          </w:tcPr>
          <w:p>
            <w:pPr>
              <w:pStyle w:val="eti4qs"/>
              <w:pBdr/>
              <w:snapToGrid w:val="0"/>
              <w:spacing w:before="0" w:after="0" w:line="240"/>
              <w:ind w:firstLineChars="0"/>
              <w:rPr>
                <w:b w:val="0"/>
                <w:sz w:val="21"/>
              </w:rPr>
            </w:pPr>
            <w:r>
              <w:rPr>
                <w:b w:val="0"/>
                <w:sz w:val="21"/>
              </w:rPr>
              <w:t>-2.63</w:t>
            </w:r>
          </w:p>
        </w:tc>
        <w:tc>
          <w:tcPr>
            <w:tcW w:w="5475" w:type="dxa"/>
            <w:tcBorders>
              <w:tl2br w:val="nil" w:color="auto" w:sz="0"/>
              <w:tr2bl w:val="nil" w:color="auto" w:sz="0"/>
            </w:tcBorders>
          </w:tcPr>
          <w:p>
            <w:pPr>
              <w:pStyle w:val="eti4qs"/>
              <w:pBdr/>
              <w:snapToGrid w:val="0"/>
              <w:spacing w:before="0" w:after="0" w:line="240"/>
              <w:ind w:firstLineChars="0"/>
              <w:rPr>
                <w:b w:val="0"/>
                <w:sz w:val="21"/>
              </w:rPr>
            </w:pPr>
            <w:r>
              <w:rPr>
                <w:b w:val="0"/>
                <w:sz w:val="21"/>
              </w:rPr>
              <w:t>错误率下降，无稳定升高，继续扫描</w:t>
            </w:r>
          </w:p>
        </w:tc>
      </w:tr>
      <w:tr>
        <w:trPr/>
        <w:tc>
          <w:tcPr>
            <w:tcW w:w="975" w:type="dxa"/>
            <w:tcBorders>
              <w:tl2br w:val="nil" w:color="auto" w:sz="0"/>
              <w:tr2bl w:val="nil" w:color="auto" w:sz="0"/>
            </w:tcBorders>
          </w:tcPr>
          <w:p>
            <w:pPr>
              <w:pStyle w:val="eti4qs"/>
              <w:pBdr/>
              <w:snapToGrid w:val="0"/>
              <w:spacing w:before="0" w:after="0" w:line="240"/>
              <w:ind w:firstLineChars="0"/>
              <w:rPr>
                <w:b w:val="0"/>
                <w:sz w:val="21"/>
              </w:rPr>
            </w:pPr>
            <w:r>
              <w:rPr>
                <w:b w:val="0"/>
                <w:sz w:val="21"/>
              </w:rPr>
              <w:t>2e-4</w:t>
            </w:r>
          </w:p>
        </w:tc>
        <w:tc>
          <w:tcPr>
            <w:tcW w:w="1830" w:type="dxa"/>
            <w:tcBorders>
              <w:tl2br w:val="nil" w:color="auto" w:sz="0"/>
              <w:tr2bl w:val="nil" w:color="auto" w:sz="0"/>
            </w:tcBorders>
          </w:tcPr>
          <w:p>
            <w:pPr>
              <w:pStyle w:val="eti4qs"/>
              <w:pBdr/>
              <w:snapToGrid w:val="0"/>
              <w:spacing w:before="0" w:after="0" w:line="240"/>
              <w:ind w:firstLineChars="0"/>
              <w:rPr>
                <w:b w:val="0"/>
                <w:sz w:val="21"/>
              </w:rPr>
            </w:pPr>
            <w:r>
              <w:rPr>
                <w:b w:val="0"/>
                <w:sz w:val="21"/>
              </w:rPr>
              <w:t>+4.14</w:t>
            </w:r>
          </w:p>
        </w:tc>
        <w:tc>
          <w:tcPr>
            <w:tcW w:w="5475" w:type="dxa"/>
            <w:tcBorders>
              <w:tl2br w:val="nil" w:color="auto" w:sz="0"/>
              <w:tr2bl w:val="nil" w:color="auto" w:sz="0"/>
            </w:tcBorders>
          </w:tcPr>
          <w:p>
            <w:pPr>
              <w:pStyle w:val="eti4qs"/>
              <w:pBdr/>
              <w:snapToGrid w:val="0"/>
              <w:spacing w:before="0" w:after="0" w:line="240"/>
              <w:ind w:firstLineChars="0"/>
              <w:rPr>
                <w:b w:val="0"/>
                <w:sz w:val="21"/>
              </w:rPr>
            </w:pPr>
            <w:r>
              <w:rPr>
                <w:b w:val="0"/>
                <w:sz w:val="21"/>
              </w:rPr>
              <w:t>错误率平均升高；仅 2/3 种子达到阈值</w:t>
            </w:r>
            <w:r>
              <w:rPr>
                <w:rFonts w:hint="eastAsia"/>
                <w:b w:val="0"/>
                <w:sz w:val="21"/>
              </w:rPr>
              <w:t>；</w:t>
            </w:r>
            <w:r>
              <w:rPr>
                <w:b w:val="0"/>
                <w:sz w:val="21"/>
              </w:rPr>
              <w:t>判为部分信号</w:t>
            </w:r>
          </w:p>
        </w:tc>
      </w:tr>
      <w:tr>
        <w:trPr/>
        <w:tc>
          <w:tcPr>
            <w:tcW w:w="975" w:type="dxa"/>
            <w:tcBorders>
              <w:tl2br w:val="nil" w:color="auto" w:sz="0"/>
              <w:tr2bl w:val="nil" w:color="auto" w:sz="0"/>
            </w:tcBorders>
          </w:tcPr>
          <w:p>
            <w:pPr>
              <w:pStyle w:val="eti4qs"/>
              <w:pBdr/>
              <w:snapToGrid w:val="0"/>
              <w:spacing w:before="0" w:after="0" w:line="240"/>
              <w:ind w:firstLineChars="0"/>
              <w:rPr>
                <w:b w:val="0"/>
                <w:sz w:val="21"/>
              </w:rPr>
            </w:pPr>
            <w:r>
              <w:rPr>
                <w:b w:val="0"/>
                <w:sz w:val="21"/>
              </w:rPr>
              <w:t>5e-4</w:t>
            </w:r>
          </w:p>
        </w:tc>
        <w:tc>
          <w:tcPr>
            <w:tcW w:w="1830" w:type="dxa"/>
            <w:tcBorders>
              <w:tl2br w:val="nil" w:color="auto" w:sz="0"/>
              <w:tr2bl w:val="nil" w:color="auto" w:sz="0"/>
            </w:tcBorders>
          </w:tcPr>
          <w:p>
            <w:pPr>
              <w:pStyle w:val="eti4qs"/>
              <w:pBdr/>
              <w:snapToGrid w:val="0"/>
              <w:spacing w:before="0" w:after="0" w:line="240"/>
              <w:ind w:firstLineChars="0"/>
              <w:rPr>
                <w:b w:val="0"/>
                <w:sz w:val="21"/>
              </w:rPr>
            </w:pPr>
            <w:r>
              <w:rPr>
                <w:b w:val="0"/>
                <w:sz w:val="21"/>
              </w:rPr>
              <w:t>+21.43</w:t>
            </w:r>
          </w:p>
        </w:tc>
        <w:tc>
          <w:tcPr>
            <w:tcW w:w="5475" w:type="dxa"/>
            <w:tcBorders>
              <w:tl2br w:val="nil" w:color="auto" w:sz="0"/>
              <w:tr2bl w:val="nil" w:color="auto" w:sz="0"/>
            </w:tcBorders>
          </w:tcPr>
          <w:p>
            <w:pPr>
              <w:pStyle w:val="eti4qs"/>
              <w:pBdr/>
              <w:snapToGrid w:val="0"/>
              <w:spacing w:before="0" w:after="0" w:line="240"/>
              <w:ind w:firstLineChars="0"/>
              <w:rPr>
                <w:b w:val="0"/>
                <w:sz w:val="21"/>
              </w:rPr>
            </w:pPr>
            <w:r>
              <w:rPr>
                <w:b w:val="0"/>
                <w:sz w:val="21"/>
              </w:rPr>
              <w:t>错误率升高幅度增大，进入候选区并补做匹配对照</w:t>
            </w:r>
          </w:p>
        </w:tc>
      </w:tr>
      <w:tr>
        <w:trPr/>
        <w:tc>
          <w:tcPr>
            <w:tcW w:w="975" w:type="dxa"/>
            <w:tcBorders>
              <w:tl2br w:val="nil" w:color="auto" w:sz="0"/>
              <w:tr2bl w:val="nil" w:color="auto" w:sz="0"/>
            </w:tcBorders>
          </w:tcPr>
          <w:p>
            <w:pPr>
              <w:pStyle w:val="eti4qs"/>
              <w:pBdr/>
              <w:snapToGrid w:val="0"/>
              <w:spacing w:before="0" w:after="0" w:line="240"/>
              <w:ind w:firstLineChars="0"/>
              <w:rPr>
                <w:b w:val="0"/>
                <w:sz w:val="21"/>
              </w:rPr>
            </w:pPr>
            <w:r>
              <w:rPr>
                <w:b w:val="0"/>
                <w:sz w:val="21"/>
              </w:rPr>
              <w:t>1e-3</w:t>
            </w:r>
          </w:p>
        </w:tc>
        <w:tc>
          <w:tcPr>
            <w:tcW w:w="1830" w:type="dxa"/>
            <w:tcBorders>
              <w:tl2br w:val="nil" w:color="auto" w:sz="0"/>
              <w:tr2bl w:val="nil" w:color="auto" w:sz="0"/>
            </w:tcBorders>
          </w:tcPr>
          <w:p>
            <w:pPr>
              <w:pStyle w:val="eti4qs"/>
              <w:pBdr/>
              <w:snapToGrid w:val="0"/>
              <w:spacing w:before="0" w:after="0" w:line="240"/>
              <w:ind w:firstLineChars="0"/>
              <w:rPr>
                <w:b w:val="0"/>
                <w:sz w:val="21"/>
              </w:rPr>
            </w:pPr>
            <w:r>
              <w:rPr>
                <w:b w:val="0"/>
                <w:sz w:val="21"/>
              </w:rPr>
              <w:t>+35.59</w:t>
            </w:r>
          </w:p>
        </w:tc>
        <w:tc>
          <w:tcPr>
            <w:tcW w:w="5475" w:type="dxa"/>
            <w:tcBorders>
              <w:tl2br w:val="nil" w:color="auto" w:sz="0"/>
              <w:tr2bl w:val="nil" w:color="auto" w:sz="0"/>
            </w:tcBorders>
          </w:tcPr>
          <w:p>
            <w:pPr>
              <w:pStyle w:val="eti4qs"/>
              <w:pBdr/>
              <w:snapToGrid w:val="0"/>
              <w:spacing w:before="0" w:after="0" w:line="240"/>
              <w:ind w:firstLineChars="0"/>
              <w:rPr>
                <w:b w:val="0"/>
                <w:sz w:val="21"/>
              </w:rPr>
            </w:pPr>
            <w:r>
              <w:rPr>
                <w:rFonts w:hint="eastAsia"/>
                <w:b w:val="0"/>
                <w:sz w:val="21"/>
              </w:rPr>
              <w:t>所有</w:t>
            </w:r>
            <w:r>
              <w:rPr>
                <w:b w:val="0"/>
                <w:sz w:val="21"/>
              </w:rPr>
              <w:t>种子的错误率均相对两个对照升高，且输出未退化，确定为工作点</w:t>
            </w:r>
          </w:p>
        </w:tc>
      </w:tr>
      <w:tr>
        <w:trPr/>
        <w:tc>
          <w:tcPr>
            <w:tcW w:w="975" w:type="dxa"/>
            <w:tcBorders>
              <w:tl2br w:val="nil" w:color="auto" w:sz="0"/>
              <w:tr2bl w:val="nil" w:color="auto" w:sz="0"/>
            </w:tcBorders>
          </w:tcPr>
          <w:p>
            <w:pPr>
              <w:pStyle w:val="eti4qs"/>
              <w:pBdr/>
              <w:snapToGrid w:val="0"/>
              <w:spacing w:before="0" w:after="0" w:line="240"/>
              <w:ind w:firstLineChars="0"/>
              <w:rPr>
                <w:b w:val="0"/>
                <w:sz w:val="21"/>
              </w:rPr>
            </w:pPr>
            <w:r>
              <w:rPr>
                <w:b w:val="0"/>
                <w:sz w:val="21"/>
              </w:rPr>
              <w:t>2e-3</w:t>
            </w:r>
          </w:p>
        </w:tc>
        <w:tc>
          <w:tcPr>
            <w:tcW w:w="1830" w:type="dxa"/>
            <w:tcBorders>
              <w:tl2br w:val="nil" w:color="auto" w:sz="0"/>
              <w:tr2bl w:val="nil" w:color="auto" w:sz="0"/>
            </w:tcBorders>
          </w:tcPr>
          <w:p>
            <w:pPr>
              <w:pStyle w:val="eti4qs"/>
              <w:pBdr/>
              <w:snapToGrid w:val="0"/>
              <w:spacing w:before="0" w:after="0" w:line="240"/>
              <w:ind w:firstLineChars="0"/>
              <w:rPr>
                <w:b w:val="0"/>
                <w:sz w:val="21"/>
              </w:rPr>
            </w:pPr>
            <w:r>
              <w:rPr>
                <w:b w:val="0"/>
                <w:sz w:val="21"/>
              </w:rPr>
              <w:t>+71.80</w:t>
            </w:r>
          </w:p>
        </w:tc>
        <w:tc>
          <w:tcPr>
            <w:tcW w:w="5475" w:type="dxa"/>
            <w:tcBorders>
              <w:tl2br w:val="nil" w:color="auto" w:sz="0"/>
              <w:tr2bl w:val="nil" w:color="auto" w:sz="0"/>
            </w:tcBorders>
          </w:tcPr>
          <w:p>
            <w:pPr>
              <w:pStyle w:val="eti4qs"/>
              <w:pBdr/>
              <w:snapToGrid w:val="0"/>
              <w:spacing w:before="0" w:after="0" w:line="240"/>
              <w:ind w:firstLineChars="0"/>
              <w:rPr>
                <w:b w:val="0"/>
                <w:sz w:val="21"/>
              </w:rPr>
            </w:pPr>
            <w:r>
              <w:rPr>
                <w:b w:val="0"/>
                <w:sz w:val="21"/>
              </w:rPr>
              <w:t>错误率升高幅度最大，但输出退化，排除</w:t>
            </w:r>
          </w:p>
        </w:tc>
      </w:tr>
    </w:tbl>
    <w:p>
      <w:pPr>
        <w:pStyle w:val="3mrkcm"/>
        <w:numPr/>
        <w:pBdr>
          <w:bottom/>
        </w:pBdr>
        <w:ind/>
        <w:rPr/>
      </w:pPr>
      <w:r>
        <w:rPr>
          <w:rStyle w:val="3xxgsb"/>
        </w:rPr>
        <w:t>表</w:t>
      </w:r>
      <w:r>
        <w:rPr>
          <w:rStyle w:val="3xxgsb"/>
          <w:rFonts w:hint="eastAsia"/>
        </w:rPr>
        <w:t>4</w:t>
      </w:r>
      <w:r>
        <w:rPr>
          <w:rStyle w:val="3xxgsb"/>
        </w:rPr>
        <w:t>.</w:t>
      </w:r>
      <w:r>
        <w:rPr>
          <w:rStyle w:val="3xxgsb"/>
          <w:rFonts w:hint="eastAsia"/>
        </w:rPr>
        <w:t>4 启真Scientist对学生模型学习率的迭代记录</w:t>
      </w:r>
    </w:p>
    <w:p>
      <w:pPr>
        <w:pStyle w:val="eti4qs"/>
        <w:pBdr/>
        <w:snapToGrid w:val="0"/>
        <w:spacing w:before="0" w:after="0" w:line="240"/>
        <w:ind w:firstLineChars="200"/>
        <w:rPr>
          <w:b w:val="0"/>
          <w:sz w:val="21"/>
        </w:rPr>
      </w:pPr>
      <w:r>
        <w:rPr>
          <w:b w:val="0"/>
          <w:sz w:val="21"/>
        </w:rPr>
        <w:t>迭代过程呈现出清晰的强度依赖关系。低</w:t>
      </w:r>
      <w:r>
        <w:rPr>
          <w:rFonts w:hint="eastAsia"/>
          <w:b w:val="0"/>
          <w:sz w:val="21"/>
        </w:rPr>
        <w:t>学习率</w:t>
      </w:r>
      <w:r>
        <w:rPr>
          <w:b w:val="0"/>
          <w:sz w:val="21"/>
        </w:rPr>
        <w:t>（不高</w:t>
      </w:r>
      <w:r>
        <w:rPr>
          <w:rFonts w:hint="eastAsia"/>
          <w:b w:val="0"/>
          <w:sz w:val="21"/>
        </w:rPr>
        <w:t>于</w:t>
      </w:r>
      <w:r>
        <w:rPr>
          <w:b w:val="0"/>
          <w:sz w:val="21"/>
        </w:rPr>
        <w:t>1e-4）下，处理组错误率与基线相当或有所下降，说明仅完成文本微调并不会自动产生错误率升高。2e-4首次出现超过阈值的错误率升高，但一个随机种子的错误率反而下降，提示该点的传播效应尚不具备可重复性；因此，系统继续增大</w:t>
      </w:r>
      <w:r>
        <w:rPr>
          <w:rFonts w:hint="eastAsia"/>
          <w:b w:val="0"/>
          <w:sz w:val="21"/>
        </w:rPr>
        <w:t>学习率</w:t>
      </w:r>
      <w:r>
        <w:rPr>
          <w:b w:val="0"/>
          <w:sz w:val="21"/>
        </w:rPr>
        <w:t>。1e-3时，三个随机种子的错误率均同时相对基线升高，且损失曲线无发散、输出仍保持可读性，因而被选为后续机理分析的工作点。2e-3虽然产生更大的错误率升高，但模型输出大面积退化，表明过高 LR 会把一般训练崩溃误判为风险传播，</w:t>
      </w:r>
      <w:r>
        <w:rPr>
          <w:rFonts w:hint="eastAsia"/>
          <w:b w:val="0"/>
          <w:sz w:val="21"/>
        </w:rPr>
        <w:t>系统把它</w:t>
      </w:r>
      <w:r>
        <w:rPr>
          <w:b w:val="0"/>
          <w:sz w:val="21"/>
        </w:rPr>
        <w:t>从候选集中剔除。</w:t>
      </w:r>
    </w:p>
    <w:p>
      <w:pPr>
        <w:pStyle w:val="eti4qs"/>
        <w:pBdr/>
        <w:snapToGrid w:val="0"/>
        <w:spacing w:before="0" w:after="0" w:line="240"/>
        <w:ind w:firstLineChars="200"/>
        <w:rPr>
          <w:b w:val="0"/>
          <w:sz w:val="21"/>
        </w:rPr>
      </w:pPr>
      <w:r>
        <w:rPr>
          <w:rFonts w:hint="eastAsia"/>
          <w:b w:val="0"/>
          <w:sz w:val="21"/>
        </w:rPr>
        <w:t>图4.2显示，</w:t>
      </w:r>
      <w:r>
        <w:rPr>
          <w:b w:val="0"/>
          <w:sz w:val="21"/>
        </w:rPr>
        <w:t>学生模型在包含文本与图像的多模态实验室安全问题上，不安全回答率达到48.6%，而未经微调的基线为20.3%，以常规教师生成的安全数据训练的对照学生为18.3%。面对一张易燃性警示标识并被问及相应化学品应当如何处置时，该学生模型选择存放于加压容器，而正确操作是使其远离易燃物，此类判断一旦进入真实实验流程，后果直接作用于物理世界。</w:t>
      </w:r>
    </w:p>
    <w:p>
      <w:pPr>
        <w:pStyle w:val="000004"/>
        <w:rPr/>
      </w:pPr>
      <w:bookmarkStart w:id="76" w:name="_Tocaud0i7"/>
      <w:r>
        <w:rPr>
          <w:rFonts w:hint="eastAsia"/>
        </w:rPr>
        <w:t>4.3.3 结论</w:t>
      </w:r>
      <w:bookmarkEnd w:id="76"/>
    </w:p>
    <w:p>
      <w:pPr>
        <w:pStyle w:val="eti4qs"/>
        <w:snapToGrid w:val="0"/>
        <w:spacing w:before="0" w:after="0" w:line="240"/>
        <w:ind w:firstLineChars="200"/>
        <w:rPr>
          <w:b w:val="0"/>
          <w:sz w:val="21"/>
        </w:rPr>
      </w:pPr>
      <w:r>
        <w:rPr>
          <w:b w:val="0"/>
          <w:sz w:val="21"/>
        </w:rPr>
        <w:t>这一结果给出两点判断：其一，训练数据逐条通过了语义安全审查，风险仍然完成了传递，说明对训练数据的内容筛选并不构成有效防线；其二，教师输出与学生训练数据均为纯文本，失效却出现在图文混合的问题上，说明风险能够跨越模态边界，在原有数据分布之外显现。由此可确认，部署前的安全检查不能停留在训练数据的内容层面。</w:t>
      </w:r>
    </w:p>
    <w:p>
      <w:pPr>
        <w:pBdr/>
        <w:snapToGrid w:val="1"/>
        <w:spacing w:line="240"/>
        <w:ind/>
        <w:jc w:val="center"/>
        <w:rPr>
          <w:rFonts w:hint="eastAsia"/>
          <w:i w:val="0"/>
          <w:strike w:val="0"/>
          <w:color w:val="000000"/>
          <w:u w:val="none"/>
        </w:rPr>
      </w:pPr>
      <w:r>
        <w:rPr>
          <w:rFonts w:hint="eastAsia"/>
          <w:i w:val="0"/>
          <w:strike w:val="0"/>
          <w:color w:val="000000"/>
          <w:u w:val="none"/>
        </w:rPr>
        <w:drawing>
          <wp:inline distT="0" distB="0" distL="0" distR="0">
            <wp:extent cx="2592070" cy="2278677"/>
            <wp:effectExtent l="0" t="0" r="0" b="0"/>
            <wp:docPr id="32" name="picture" descr="descript"/>
            <wp:cNvGraphicFramePr/>
            <a:graphic>
              <a:graphicData uri="http://schemas.openxmlformats.org/drawingml/2006/picture">
                <pic:pic>
                  <pic:nvPicPr>
                    <pic:cNvPr id="33" name="picture" descr="descript"/>
                    <pic:cNvPicPr/>
                  </pic:nvPicPr>
                  <pic:blipFill rotWithShape="1">
                    <a:blip r:embed="rId21"/>
                    <a:stretch/>
                  </pic:blipFill>
                  <pic:spPr>
                    <a:xfrm flipH="0" flipV="0">
                      <a:off x="0" y="0"/>
                      <a:ext cx="2592070" cy="2278677"/>
                    </a:xfrm>
                    <a:prstGeom prst="rect">
                      <a:avLst/>
                    </a:prstGeom>
                  </pic:spPr>
                </pic:pic>
              </a:graphicData>
            </a:graphic>
          </wp:inline>
        </w:drawing>
      </w:r>
    </w:p>
    <w:p>
      <w:pPr>
        <w:pStyle w:val="3mrkcm"/>
        <w:rPr/>
      </w:pPr>
      <w:r>
        <w:rPr>
          <w:rStyle w:val="3xxgsb"/>
        </w:rPr>
        <w:t>图</w:t>
      </w:r>
      <w:r>
        <w:rPr>
          <w:rStyle w:val="3xxgsb"/>
          <w:rFonts w:hint="eastAsia"/>
        </w:rPr>
        <w:t>4</w:t>
      </w:r>
      <w:r>
        <w:rPr>
          <w:rStyle w:val="3xxgsb"/>
        </w:rPr>
        <w:t>.</w:t>
      </w:r>
      <w:r>
        <w:rPr>
          <w:rStyle w:val="3xxgsb"/>
          <w:rFonts w:hint="eastAsia"/>
        </w:rPr>
        <w:t>3 数据-参数-行为的相互作用：理解大模型最新发展的视角</w:t>
      </w:r>
      <w:r>
        <w:rPr>
          <w:rStyle w:val="3xxgsb"/>
        </w:rPr>
        <w:t xml:space="preserve"> </w:t>
      </w:r>
    </w:p>
    <w:p>
      <w:pPr>
        <w:pStyle w:val="eti4qs"/>
        <w:snapToGrid w:val="0"/>
        <w:spacing w:before="0" w:after="0" w:line="240"/>
        <w:ind w:firstLineChars="200"/>
        <w:rPr>
          <w:b w:val="0"/>
          <w:sz w:val="21"/>
        </w:rPr>
      </w:pPr>
      <w:r>
        <w:rPr>
          <w:b w:val="0"/>
          <w:sz w:val="21"/>
        </w:rPr>
        <w:t>风险能够穿过内容审查完成传递，一种可能的解释是Anthropic团队提出的潜意识学习：训练数据的影响并不只沿语义通道传递，模型还会从数据的统计规律中习得未被写明的行为倾向。已有的潜意识学习研究集中在单一模态内的中性数据与偏好类特质上，本项目把这一现象推进到两个此前未被覆盖的维度：一是训练数据在语义上与目标特质相反，而非仅为中性；二是传递跨越模态边界，纯文本数据导致图文问题上的失效。应用场景是更为重要的直接关系人身安全的化学实验安全领域。就机理而言，模型的内部表征同时编码输入的语义特征与潜在统计特征，与非预期行为相关的特征强度较弱，且与主导任务的特征相互纠缠，无法在文本层面被分离或筛除。教师模型的行为倾向以统计规律的形式留在它生成的每一条数据中，逐条阅读时每条都合规，整个数据集的分布却携带了该倾向，学生模型在拟合这一分布的过程中把倾向一并写入自身参数。内容审查作用于语义通道，而传递发生在统计通道，两者并不重合，这正是过滤器失效的原因。数据、参数与行为由此构成一个闭合回路：数据决定参数中形成哪些有效结构，参数结构决定模型部署后表现出哪些行为，对行为与参数的理解又反过来指导下一批数据的构建。安全问题产生于整个回路，只审查数据内容这一环，必然漏掉另外两环。本项目把机理可解释性置于回路的支点位置，从参数层面读出数据将要造成的行为，再据此修正数据的构建方式，使模型安全性的判断由部署之后的被动评测前移为部署之前的主动预测。</w:t>
      </w:r>
    </w:p>
    <w:p>
      <w:pPr>
        <w:pStyle w:val="ozm0ah"/>
        <w:numPr/>
        <w:pBdr/>
        <w:ind/>
        <w:rPr>
          <w:rFonts w:hint="eastAsia"/>
        </w:rPr>
      </w:pPr>
      <w:bookmarkStart w:id="77" w:name="_Tockd6fpi"/>
      <w:r>
        <w:rPr>
          <w:rFonts w:hint="eastAsia"/>
        </w:rPr>
        <w:t>5</w:t>
      </w:r>
      <w:r>
        <w:rPr>
          <w:rFonts w:hint="eastAsia"/>
        </w:rPr>
        <w:t xml:space="preserve"> </w:t>
      </w:r>
      <w:r>
        <w:rPr>
          <w:i w:val="0"/>
          <w:strike w:val="0"/>
          <w:spacing w:val="0"/>
          <w:u w:val="none"/>
        </w:rPr>
        <w:t>核心优势与实施基础</w:t>
      </w:r>
      <w:bookmarkEnd w:id="77"/>
    </w:p>
    <w:p>
      <w:pPr>
        <w:pStyle w:val="000003"/>
        <w:pBdr/>
        <w:snapToGrid w:val="1"/>
        <w:spacing w:line="240"/>
        <w:ind/>
        <w:rPr>
          <w:rFonts w:hint="eastAsia"/>
          <w:i w:val="0"/>
          <w:strike w:val="0"/>
          <w:color w:val="000000"/>
          <w:u w:val="none"/>
        </w:rPr>
      </w:pPr>
      <w:bookmarkStart w:id="78" w:name="_Toc55hjia"/>
      <w:r>
        <w:rPr>
          <w:rFonts w:hint="eastAsia"/>
          <w:i w:val="0"/>
          <w:strike w:val="0"/>
          <w:color w:val="000000"/>
          <w:u w:val="none"/>
        </w:rPr>
        <w:t>5</w:t>
      </w:r>
      <w:r>
        <w:rPr>
          <w:rFonts w:hint="eastAsia"/>
          <w:i w:val="0"/>
          <w:strike w:val="0"/>
          <w:color w:val="000000"/>
          <w:u w:val="none"/>
        </w:rPr>
        <w:t>.1 高水平交叉团队</w:t>
      </w:r>
      <w:bookmarkEnd w:id="78"/>
    </w:p>
    <w:p>
      <w:pPr>
        <w:pStyle w:val="eti4qs"/>
        <w:snapToGrid w:val="0"/>
        <w:spacing w:before="0" w:after="0" w:line="240"/>
        <w:ind w:firstLineChars="200"/>
        <w:rPr>
          <w:rFonts w:ascii="宋体" w:hAnsi="宋体" w:eastAsia="宋体" w:cs="宋体"/>
          <w:i w:val="0"/>
          <w:strike w:val="0"/>
          <w:color w:val="000000"/>
          <w:sz w:val="21"/>
          <w:u w:val="none"/>
        </w:rPr>
      </w:pPr>
      <w:r>
        <w:rPr>
          <w:b w:val="0"/>
          <w:sz w:val="21"/>
        </w:rPr>
        <w:t>项目团队来自浙江大学。浙江大学在人工智能方向具有雄厚的科研基础与学科优势。浙江大学人工智能学院负责人工智能、设计学2个一级学科和人工智能、智能工程与创意设计2个本科专业建设，构建了本硕博贯通的人才培养体系。学院在人工智能及相关领域科研实力雄厚，拥有国家人工智能产教融合创新平台、国家高等学校人工智能教材基地等多个国家级科研平台，是国家“新一代人工智能”等科技创新重大专项的重点承担单位。以学院潘云鹤院士为代表的战略科学家长期深耕人工智能领域，为我国新一代人工智能发展战略谋划与实施作出突出贡献。</w:t>
      </w:r>
      <w:r>
        <w:rPr>
          <w:rFonts w:ascii="宋体" w:hAnsi="宋体" w:eastAsia="宋体" w:cs="宋体"/>
          <w:b w:val="1"/>
          <w:i w:val="0"/>
          <w:strike w:val="0"/>
          <w:color w:val="000000"/>
          <w:sz w:val="21"/>
          <w:u w:val="none"/>
        </w:rPr>
        <w:t>根据</w:t>
      </w:r>
      <w:r>
        <w:rPr>
          <w:rFonts w:ascii="Times New Roman" w:hAnsi="Times New Roman" w:cs="Times New Roman"/>
          <w:b w:val="1"/>
          <w:i w:val="0"/>
          <w:strike w:val="0"/>
          <w:color w:val="000000"/>
          <w:sz w:val="21"/>
          <w:u w:val="none"/>
        </w:rPr>
        <w:t>CS Rankings 2025</w:t>
      </w:r>
      <w:r>
        <w:rPr>
          <w:rFonts w:ascii="宋体" w:hAnsi="宋体" w:eastAsia="宋体" w:cs="宋体"/>
          <w:b w:val="1"/>
          <w:i w:val="0"/>
          <w:strike w:val="0"/>
          <w:color w:val="000000"/>
          <w:sz w:val="21"/>
          <w:u w:val="none"/>
        </w:rPr>
        <w:t>年数据，浙江大学人工智能领域研究位列全球第一梯队</w:t>
      </w:r>
      <w:r>
        <w:rPr>
          <w:rFonts w:ascii="宋体" w:hAnsi="宋体" w:eastAsia="宋体" w:cs="宋体"/>
          <w:i w:val="0"/>
          <w:strike w:val="0"/>
          <w:color w:val="000000"/>
          <w:sz w:val="21"/>
          <w:u w:val="none"/>
        </w:rPr>
        <w:t>。</w:t>
      </w:r>
    </w:p>
    <w:p>
      <w:pPr>
        <w:pStyle w:val="eti4qs"/>
        <w:snapToGrid w:val="0"/>
        <w:spacing w:before="0" w:after="0" w:line="240"/>
        <w:ind w:firstLineChars="200"/>
        <w:rPr>
          <w:b w:val="0"/>
          <w:sz w:val="21"/>
        </w:rPr>
      </w:pPr>
      <w:r>
        <w:rPr>
          <w:rFonts w:ascii="宋体" w:hAnsi="宋体" w:eastAsia="宋体" w:cs="宋体"/>
          <w:i w:val="0"/>
          <w:strike w:val="0"/>
          <w:color w:val="000000"/>
          <w:sz w:val="21"/>
          <w:u w:val="none"/>
        </w:rPr>
        <w:t>项目团队具备从人工智能、交叉科学到自动化实验的完整技术积累。在浙江大学计算机学院潘云鹤院士、吴朝晖院士的指导与支持下，</w:t>
      </w:r>
      <w:r>
        <w:rPr>
          <w:rFonts w:ascii="宋体" w:hAnsi="宋体" w:eastAsia="宋体" w:cs="宋体"/>
          <w:b w:val="1"/>
          <w:i w:val="0"/>
          <w:strike w:val="0"/>
          <w:color w:val="000000"/>
          <w:sz w:val="21"/>
          <w:u w:val="none"/>
        </w:rPr>
        <w:t>团队长期深耕知识工程与人工智能，构建了覆盖 26个学科、4300余万篇论文、1.57亿实体和30亿知识关系的大规模科学知识图谱 SciAtlas，为跨学科科学发现提供知识底座。团队牵头建设的 OpenKG开放知识图谱社区已持续发展十余年，形成了国内重要的知识工程开放生态</w:t>
      </w:r>
      <w:r>
        <w:rPr>
          <w:rFonts w:ascii="宋体" w:hAnsi="宋体" w:eastAsia="宋体" w:cs="宋体"/>
          <w:i w:val="0"/>
          <w:strike w:val="0"/>
          <w:color w:val="000000"/>
          <w:sz w:val="21"/>
          <w:u w:val="none"/>
        </w:rPr>
        <w:t>；进一步研发的 SciToolAgent 集成生物、化学、材料等领域 500余种科学工具，相关成果发表于 Nature Computational Science</w:t>
      </w:r>
      <w:r>
        <w:rPr>
          <w:rFonts w:hint="eastAsia" w:ascii="宋体" w:hAnsi="宋体" w:eastAsia="宋体" w:cs="宋体"/>
          <w:i w:val="0"/>
          <w:strike w:val="0"/>
          <w:color w:val="000000"/>
          <w:sz w:val="21"/>
          <w:u w:val="none"/>
        </w:rPr>
        <w:t>，</w:t>
      </w:r>
      <w:r>
        <w:rPr>
          <w:b w:val="0"/>
          <w:sz w:val="21"/>
        </w:rPr>
        <w:t>形成了从科学知识组织、跨学科推理到科研工具自主调用的智能科研技术体系。</w:t>
      </w:r>
    </w:p>
    <w:p>
      <w:pPr>
        <w:numPr/>
        <w:pBdr>
          <w:bottom/>
        </w:pBdr>
        <w:snapToGrid w:val="0"/>
        <w:spacing w:before="0" w:after="60" w:line="240" w:lineRule="auto"/>
        <w:ind w:left="0" w:right="0" w:firstLine="480" w:firstLineChars="200"/>
        <w:jc w:val="left"/>
        <w:rPr>
          <w:rFonts w:ascii="宋体" w:hAnsi="宋体" w:eastAsia="宋体" w:cs="宋体"/>
          <w:i w:val="0"/>
          <w:strike w:val="0"/>
          <w:color w:val="000000"/>
          <w:sz w:val="21"/>
          <w:u w:val="none"/>
        </w:rPr>
      </w:pPr>
      <w:r>
        <w:rPr>
          <w:rFonts w:ascii="宋体" w:hAnsi="宋体" w:eastAsia="宋体" w:cs="宋体"/>
          <w:i w:val="0"/>
          <w:strike w:val="0"/>
          <w:color w:val="000000"/>
          <w:sz w:val="21"/>
          <w:u w:val="none"/>
        </w:rPr>
        <w:t>在AI与交叉科学融合方面，</w:t>
      </w:r>
      <w:r>
        <w:rPr>
          <w:rFonts w:ascii="宋体" w:hAnsi="宋体" w:eastAsia="宋体" w:cs="宋体"/>
          <w:b w:val="1"/>
          <w:i w:val="0"/>
          <w:strike w:val="0"/>
          <w:color w:val="000000"/>
          <w:sz w:val="21"/>
          <w:u w:val="none"/>
        </w:rPr>
        <w:t>团队已与复旦大学麻生明院士团队建立深度合作</w:t>
      </w:r>
      <w:r>
        <w:rPr>
          <w:rFonts w:ascii="宋体" w:hAnsi="宋体" w:eastAsia="宋体" w:cs="宋体"/>
          <w:i w:val="0"/>
          <w:strike w:val="0"/>
          <w:color w:val="000000"/>
          <w:sz w:val="21"/>
          <w:u w:val="none"/>
        </w:rPr>
        <w:t>，将大模型、知识图谱与自动化有机合成平台结合，面向反应条件智能优化、新反应与新试剂发现等前沿问题开展 AI4Chem 研究，打通“人工智能算法—科学知识—真实实验”的闭环。复旦大学公开资料也明确将双方合作定位为 AI 与合成化学的深度融合。</w:t>
      </w:r>
    </w:p>
    <w:p>
      <w:pPr>
        <w:numPr/>
        <w:pBdr/>
        <w:snapToGrid w:val="0"/>
        <w:spacing w:before="0" w:after="60" w:line="240" w:lineRule="auto"/>
        <w:ind w:left="0" w:right="0" w:firstLine="480" w:firstLineChars="200"/>
        <w:jc w:val="left"/>
        <w:rPr>
          <w:rFonts w:ascii="宋体" w:hAnsi="宋体" w:eastAsia="宋体" w:cs="宋体"/>
          <w:i w:val="0"/>
          <w:strike w:val="0"/>
          <w:color w:val="000000"/>
          <w:sz w:val="21"/>
          <w:u w:val="none"/>
        </w:rPr>
      </w:pPr>
      <w:r>
        <w:rPr>
          <w:rFonts w:ascii="宋体" w:hAnsi="宋体" w:eastAsia="宋体" w:cs="宋体"/>
          <w:b w:val="1"/>
          <w:i w:val="0"/>
          <w:strike w:val="0"/>
          <w:color w:val="000000"/>
          <w:sz w:val="21"/>
          <w:u w:val="none"/>
        </w:rPr>
        <w:t>在自动化科学装置与产业转化方面，团队与晶泰科技建立合作</w:t>
      </w:r>
      <w:r>
        <w:rPr>
          <w:rFonts w:ascii="宋体" w:hAnsi="宋体" w:eastAsia="宋体" w:cs="宋体"/>
          <w:i w:val="0"/>
          <w:strike w:val="0"/>
          <w:color w:val="000000"/>
          <w:sz w:val="21"/>
          <w:u w:val="none"/>
        </w:rPr>
        <w:t>。 晶泰科技已规模化部署AI机器人实验工站，现有湿实验室面积超过 10,000平方米，形成“AI预测—机器人实验—数据反馈—智能迭代”的自主实验能力；2025年4月，其智能自主实验平台向习近平总书记进行了现场展示。 公司目前已与全球TOP20大药企中的 17家开展合作，其智能化自动化药物研发平台曾获得世界人工智能大会最高奖 SAIL奖。</w:t>
      </w:r>
    </w:p>
    <w:p>
      <w:pPr>
        <w:numPr/>
        <w:pBdr>
          <w:bottom/>
        </w:pBdr>
        <w:snapToGrid w:val="0"/>
        <w:spacing w:before="0" w:after="60" w:line="240" w:lineRule="auto"/>
        <w:ind w:left="0" w:right="0" w:firstLine="480" w:firstLineChars="200"/>
        <w:jc w:val="left"/>
        <w:rPr>
          <w:rFonts w:ascii="宋体" w:hAnsi="宋体" w:eastAsia="宋体" w:cs="宋体"/>
          <w:i w:val="0"/>
          <w:strike w:val="0"/>
          <w:color w:val="000000"/>
          <w:sz w:val="21"/>
          <w:u w:val="none"/>
        </w:rPr>
      </w:pPr>
      <w:r>
        <w:rPr>
          <w:rFonts w:hint="eastAsia" w:ascii="宋体" w:hAnsi="宋体" w:eastAsia="宋体" w:cs="宋体"/>
          <w:i w:val="0"/>
          <w:strike w:val="0"/>
          <w:color w:val="000000"/>
          <w:sz w:val="21"/>
          <w:u w:val="none"/>
        </w:rPr>
        <w:t>下面介绍本项目三位指导老师：</w:t>
      </w:r>
    </w:p>
    <w:p>
      <w:pPr>
        <w:numPr/>
        <w:pBdr>
          <w:bottom/>
        </w:pBdr>
        <w:snapToGrid w:val="0"/>
        <w:spacing w:before="0" w:after="60" w:line="240" w:lineRule="auto"/>
        <w:ind w:left="0" w:right="0" w:firstLine="480" w:firstLineChars="200"/>
        <w:jc w:val="left"/>
        <w:rPr>
          <w:rFonts w:ascii="宋体" w:hAnsi="宋体" w:eastAsia="宋体" w:cs="宋体"/>
          <w:i w:val="0"/>
          <w:strike w:val="0"/>
          <w:color w:val="000000"/>
          <w:sz w:val="21"/>
          <w:u w:val="none"/>
        </w:rPr>
      </w:pPr>
      <w:r>
        <w:rPr>
          <w:rFonts w:ascii="宋体" w:hAnsi="宋体" w:eastAsia="宋体" w:cs="宋体"/>
          <w:b w:val="1"/>
          <w:i w:val="0"/>
          <w:strike w:val="0"/>
          <w:color w:val="000000"/>
          <w:sz w:val="21"/>
          <w:u w:val="single"/>
        </w:rPr>
        <w:t>尹建伟，浙江大学教授，国家杰青，计算机科学与技术学院院长、软件学院院长</w:t>
      </w:r>
      <w:r>
        <w:rPr>
          <w:rFonts w:ascii="宋体" w:hAnsi="宋体" w:eastAsia="宋体" w:cs="宋体"/>
          <w:i w:val="0"/>
          <w:strike w:val="0"/>
          <w:color w:val="000000"/>
          <w:sz w:val="21"/>
          <w:u w:val="none"/>
        </w:rPr>
        <w:t>。承担或完成国家重点研发计划（项目负责人）、国家重大科技专项（项目负责人）、国家自然科学基金、863计划、国家科技支撑计划等10余项国家级重大项目，主持发布2项ISO国际标准、发布2项国家标准，获得10余项PCT国际发明专利授权、150余项国家发明专利授权，以第一或第二获奖人获得1项国家科技进步二等奖、7项省部级及国家级学会科学技术一等奖、1项中国专利银奖、1项2022日内瓦国际专利展金奖。在人工智能、软件工程、复杂服务系统和科研基础设施建设方面具有深厚积累。</w:t>
      </w:r>
    </w:p>
    <w:p>
      <w:pPr>
        <w:numPr/>
        <w:pBdr>
          <w:bottom/>
        </w:pBdr>
        <w:snapToGrid w:val="0"/>
        <w:spacing w:before="0" w:after="60" w:line="240" w:lineRule="auto"/>
        <w:ind w:left="0" w:right="0" w:firstLine="480" w:firstLineChars="200"/>
        <w:jc w:val="left"/>
        <w:rPr>
          <w:rFonts w:ascii="宋体" w:hAnsi="宋体" w:eastAsia="宋体" w:cs="宋体"/>
          <w:i w:val="0"/>
          <w:strike w:val="0"/>
          <w:color w:val="000000"/>
          <w:sz w:val="21"/>
          <w:u w:val="none"/>
        </w:rPr>
      </w:pPr>
      <w:r>
        <w:rPr>
          <w:rFonts w:ascii="宋体" w:hAnsi="宋体" w:eastAsia="宋体" w:cs="宋体"/>
          <w:b w:val="1"/>
          <w:i w:val="0"/>
          <w:strike w:val="0"/>
          <w:color w:val="000000"/>
          <w:sz w:val="21"/>
          <w:u w:val="single"/>
        </w:rPr>
        <w:t>张宁豫，浙江大学副教授，智能科学与工业软件研究所副所长，多次入选斯坦福全球前2%顶尖科学家</w:t>
      </w:r>
      <w:r>
        <w:rPr>
          <w:rFonts w:ascii="宋体" w:hAnsi="宋体" w:eastAsia="宋体" w:cs="宋体"/>
          <w:i w:val="0"/>
          <w:strike w:val="0"/>
          <w:color w:val="000000"/>
          <w:sz w:val="21"/>
          <w:u w:val="none"/>
        </w:rPr>
        <w:t>，依托国家自然科学基金（面上、青年）、科技创新2030新一代人工智能重大专项子课题（总经费4854万）等项目，近5年发表Nature子刊3篇，谷歌学术引用1万</w:t>
      </w:r>
      <w:r>
        <w:rPr>
          <w:rFonts w:hint="eastAsia" w:ascii="宋体" w:hAnsi="宋体" w:eastAsia="宋体" w:cs="宋体"/>
          <w:i w:val="0"/>
          <w:strike w:val="0"/>
          <w:color w:val="000000"/>
          <w:sz w:val="21"/>
          <w:u w:val="none"/>
        </w:rPr>
        <w:t>5</w:t>
      </w:r>
      <w:r>
        <w:rPr>
          <w:rFonts w:ascii="宋体" w:hAnsi="宋体" w:eastAsia="宋体" w:cs="宋体"/>
          <w:i w:val="0"/>
          <w:strike w:val="0"/>
          <w:color w:val="000000"/>
          <w:sz w:val="21"/>
          <w:u w:val="none"/>
        </w:rPr>
        <w:t xml:space="preserve">千余次，h-index 67，学术成果被台湾大学李宏毅教授纳入高等教育课程内容，获浙江省科技进步二等奖、浙江省优秀教学案例、教育部在线示范课程奖、中国人工智能学会优秀项目。 </w:t>
      </w:r>
    </w:p>
    <w:p>
      <w:pPr>
        <w:numPr/>
        <w:pBdr>
          <w:bottom/>
        </w:pBdr>
        <w:snapToGrid w:val="0"/>
        <w:spacing w:before="0" w:after="60" w:line="240" w:lineRule="auto"/>
        <w:ind w:left="0" w:right="0" w:firstLine="480" w:firstLineChars="200"/>
        <w:jc w:val="left"/>
        <w:rPr>
          <w:rFonts w:ascii="宋体" w:hAnsi="宋体" w:eastAsia="宋体" w:cs="宋体"/>
          <w:i w:val="0"/>
          <w:strike w:val="0"/>
          <w:color w:val="000000"/>
          <w:sz w:val="21"/>
          <w:u w:val="none"/>
        </w:rPr>
      </w:pPr>
      <w:r>
        <w:rPr>
          <w:rFonts w:ascii="宋体" w:hAnsi="宋体" w:eastAsia="宋体" w:cs="宋体"/>
          <w:b w:val="1"/>
          <w:i w:val="0"/>
          <w:strike w:val="0"/>
          <w:color w:val="000000"/>
          <w:sz w:val="21"/>
          <w:u w:val="single"/>
        </w:rPr>
        <w:t>邓淑敏，浙江大学百人计划研究员，国家级高层次青年人才</w:t>
      </w:r>
      <w:r>
        <w:rPr>
          <w:rFonts w:ascii="宋体" w:hAnsi="宋体" w:eastAsia="宋体" w:cs="宋体"/>
          <w:i w:val="0"/>
          <w:strike w:val="0"/>
          <w:color w:val="000000"/>
          <w:sz w:val="21"/>
          <w:u w:val="none"/>
        </w:rPr>
        <w:t>，主要研究方向为自然语言处理、知识图谱、大模型智能体。曾担任新加坡国立大学计算机学院博士后研究员（2022.10 – 2026.1），由数据挖掘领域知名学者Bryan Hooi（师从数据挖掘领域巨擘、CMU Christos Faloutsos教授）指导，并与新加坡工程院院士颜水成教授、新加坡国立大学本科生院副院长Min-Yen Kan教授、A*STAR (新加坡科技局) 领导Nancy F. Chen展开合作。入选斯坦福全球前 2% 顶尖科学家榜单（人工智能领域），谷歌引用7000余次，H指数为39，以第一/通讯作者身份在Nature Machine Intelligence、TASLP、ACL、ICDE、KDD、WWW等国际顶级期刊与会议上发表论文共二十余篇（含CCF/TH-CPL清华评级 A类论文十余篇），单篇引用过200论文12篇，入选Paper Digest高影响力论文6篇，3次获最佳论文奖（CCKS 2021、KnowledgeNLP@ACL2024、LLM+KG@VLDB2024），参与撰写2部英文专著，成果得到领域同行的高度认可和广泛引用，部分成果已实现产业化应用，授权国内专利7项，国际专利1项，在学术界和产业界产生了重要影响，已有成果将为今后的研究提供有力支撑。</w:t>
      </w:r>
    </w:p>
    <w:p>
      <w:pPr>
        <w:numPr/>
        <w:pBdr>
          <w:bottom/>
        </w:pBdr>
        <w:snapToGrid w:val="0"/>
        <w:spacing w:before="0" w:after="60" w:line="240" w:lineRule="auto"/>
        <w:ind w:left="0" w:right="0" w:firstLine="480" w:firstLineChars="200"/>
        <w:jc w:val="left"/>
        <w:rPr>
          <w:rFonts w:ascii="宋体" w:hAnsi="宋体" w:eastAsia="宋体" w:cs="宋体"/>
          <w:i w:val="0"/>
          <w:strike w:val="0"/>
          <w:color w:val="000000"/>
          <w:sz w:val="21"/>
          <w:u w:val="none"/>
        </w:rPr>
      </w:pPr>
      <w:r>
        <w:rPr>
          <w:rFonts w:hint="eastAsia" w:ascii="宋体" w:hAnsi="宋体" w:eastAsia="宋体" w:cs="宋体"/>
          <w:i w:val="0"/>
          <w:strike w:val="0"/>
          <w:color w:val="000000"/>
          <w:sz w:val="21"/>
          <w:u w:val="none"/>
        </w:rPr>
        <w:t>项目</w:t>
      </w:r>
      <w:r>
        <w:rPr>
          <w:rFonts w:ascii="宋体" w:hAnsi="宋体" w:eastAsia="宋体" w:cs="宋体"/>
          <w:i w:val="0"/>
          <w:strike w:val="0"/>
          <w:color w:val="000000"/>
          <w:sz w:val="21"/>
          <w:u w:val="none"/>
        </w:rPr>
        <w:t>团队自2015年起与阿里巴巴开展长期深入合作，持续将浙江大学在知识增强与大模型领域的研究成果应用于通义千问大模型，并逐步部署于知识检索增强、知识库构建、智能体记忆与规划等核心业务场景，形成了涵盖知识抽取、检索增强生成（RAG）、知识编辑和智能体规划的系统性技术体系。相关技术已在实际业务中得到规模化验证并取得显著成效：无需人工标注的查询改写框架使业务场景召回率平均提升5%，基于选择性数据标注的方法使自然语言理解与生成效果平均提升2%，低资源知识抽取性能平均提升22.4%；双重记忆知识编辑方法在持续千余次编辑后仍保持约80%的综合效果，有效支撑知识谬误、知识过时及模型幻觉等问题的治理；基于世界知识模型增强的智能体规划技术使多场景规划性能提升2%—5%，在部分任务中，7B/8B规模小模型的规划能力已超过GPT-4。上述成果为通义千问的知识增强、知识治理及智能体能力提升提供了重要技术支撑，</w:t>
      </w:r>
      <w:r>
        <w:rPr>
          <w:rFonts w:ascii="宋体" w:hAnsi="宋体" w:eastAsia="宋体" w:cs="宋体"/>
          <w:b w:val="1"/>
          <w:i w:val="0"/>
          <w:strike w:val="0"/>
          <w:color w:val="000000"/>
          <w:sz w:val="21"/>
          <w:u w:val="single"/>
        </w:rPr>
        <w:t>相关研究成果获得浙江省科技进步二等奖、钱伟长科技进步一等奖。长期合作期间，团队已累计向阿里巴巴输送5名优秀学生，其中1名进入通义千问基础模型核心团队，为产学研深度融合和大模型产业人才培养提供了有力支撑</w:t>
      </w:r>
      <w:r>
        <w:rPr>
          <w:rFonts w:ascii="宋体" w:hAnsi="宋体" w:eastAsia="宋体" w:cs="宋体"/>
          <w:i w:val="0"/>
          <w:strike w:val="0"/>
          <w:color w:val="000000"/>
          <w:sz w:val="21"/>
          <w:u w:val="none"/>
        </w:rPr>
        <w:t>。</w:t>
      </w:r>
    </w:p>
    <w:p>
      <w:pPr>
        <w:numPr/>
        <w:pBdr>
          <w:bottom/>
        </w:pBdr>
        <w:snapToGrid w:val="0"/>
        <w:spacing w:before="0" w:after="60" w:line="240" w:lineRule="auto"/>
        <w:ind w:left="0" w:right="0" w:firstLine="480" w:firstLineChars="200"/>
        <w:jc w:val="left"/>
        <w:rPr>
          <w:rFonts w:ascii="宋体" w:hAnsi="宋体" w:eastAsia="宋体" w:cs="宋体"/>
          <w:i w:val="0"/>
          <w:strike w:val="0"/>
          <w:color w:val="000000"/>
          <w:sz w:val="21"/>
          <w:u w:val="none"/>
        </w:rPr>
      </w:pPr>
      <w:r>
        <w:rPr>
          <w:rFonts w:ascii="宋体" w:hAnsi="宋体" w:eastAsia="宋体" w:cs="宋体"/>
          <w:i w:val="0"/>
          <w:strike w:val="0"/>
          <w:color w:val="000000"/>
          <w:sz w:val="21"/>
          <w:u w:val="none"/>
        </w:rPr>
        <w:t>依托上述基础，团队进一步将国产大模型Qwen与高通量自动化科学装置融合，构建启真Scientist自主实验迭代系统，实现从自然语言科研指令、实验方案生成、可执行代码转换，到机械臂执行、实验反馈与自主迭代的完整闭环，形成覆盖科学知识、AI智能体、数字孪生与真实自动化实验的一体化技术体系。</w:t>
      </w:r>
    </w:p>
    <w:p>
      <w:pPr>
        <w:pStyle w:val="eti4qs"/>
        <w:pBdr>
          <w:bottom/>
        </w:pBdr>
        <w:snapToGrid w:val="0"/>
        <w:spacing w:before="0" w:after="0" w:line="240"/>
        <w:ind w:firstLineChars="200"/>
        <w:rPr>
          <w:sz w:val="21"/>
        </w:rPr>
      </w:pPr>
      <w:r>
        <w:rPr>
          <w:sz w:val="21"/>
        </w:rPr>
        <w:t>项目团队形成了由高水平科研带头人、优秀青年骨干以及人工智能与化学交叉成员组成的复合型创新团队。指导教师长期深耕自然语言处理、知识工程与人工智能，多次入选斯坦福全球前2%顶尖科学家，主持和承担国家自然科学基金、</w:t>
      </w:r>
      <w:r>
        <w:rPr>
          <w:b w:val="1"/>
          <w:sz w:val="21"/>
        </w:rPr>
        <w:t>科技创新2030“新一代人工智能”重大专项子课题等国家级项目</w:t>
      </w:r>
      <w:r>
        <w:rPr>
          <w:sz w:val="21"/>
        </w:rPr>
        <w:t>，其中重大专项总经费达4854万元。</w:t>
      </w:r>
      <w:r>
        <w:rPr>
          <w:rFonts w:hint="eastAsia"/>
          <w:sz w:val="21"/>
        </w:rPr>
        <w:t>本项目的指导</w:t>
      </w:r>
      <w:r>
        <w:rPr>
          <w:sz w:val="21"/>
        </w:rPr>
        <w:t>教师</w:t>
      </w:r>
      <w:r>
        <w:rPr>
          <w:b w:val="1"/>
          <w:sz w:val="21"/>
        </w:rPr>
        <w:t>近5年发表Nature系列子刊论文3篇</w:t>
      </w:r>
      <w:r>
        <w:rPr>
          <w:sz w:val="21"/>
        </w:rPr>
        <w:t>，其中包括第一作者Nature Machine Intelligence论文1篇，累计发表CCF-A类论文70余篇，出版中英文专著各1部；Google Scholar引用超过15000次，H-index 67，47篇论文引用超过百次，并多次入选Paper Digest最具影响力论文榜单。相关成果获省科技进步二等奖、中国人工智能学会优秀项目等奖励。</w:t>
      </w:r>
      <w:r>
        <w:rPr>
          <w:rFonts w:hint="eastAsia"/>
          <w:sz w:val="21"/>
        </w:rPr>
        <w:t>本项目团队近5年来，</w:t>
      </w:r>
      <w:r>
        <w:rPr>
          <w:sz w:val="21"/>
        </w:rPr>
        <w:t>已发表</w:t>
      </w:r>
      <w:r>
        <w:rPr>
          <w:b w:val="1"/>
          <w:sz w:val="21"/>
        </w:rPr>
        <w:t>Nature系列子刊论文11篇</w:t>
      </w:r>
      <w:r>
        <w:rPr>
          <w:sz w:val="21"/>
        </w:rPr>
        <w:t>，为启真Scientist进一步建设成为面向化学领域的新型智能科研基础设施奠定了坚实基础</w:t>
      </w:r>
      <w:r>
        <w:rPr>
          <w:rFonts w:hint="eastAsia"/>
          <w:sz w:val="21"/>
        </w:rPr>
        <w:t>和</w:t>
      </w:r>
      <w:r>
        <w:rPr>
          <w:sz w:val="21"/>
        </w:rPr>
        <w:t>系统性技术积累。</w:t>
      </w:r>
    </w:p>
    <w:p>
      <w:pPr>
        <w:pStyle w:val="eti4qs"/>
        <w:pBdr>
          <w:bottom/>
        </w:pBdr>
        <w:snapToGrid w:val="0"/>
        <w:spacing w:before="0" w:after="0" w:line="240"/>
        <w:ind w:firstLineChars="200"/>
        <w:rPr>
          <w:sz w:val="21"/>
        </w:rPr>
      </w:pPr>
      <w:r>
        <w:rPr>
          <w:sz w:val="21"/>
        </w:rPr>
        <w:t>项目队长获</w:t>
      </w:r>
      <w:r>
        <w:rPr>
          <w:b w:val="1"/>
          <w:sz w:val="21"/>
        </w:rPr>
        <w:t>中国人工智能学会第二届“潜力清源学者”及中国电子学会—腾讯博士生科研激励计划支持</w:t>
      </w:r>
      <w:r>
        <w:rPr>
          <w:sz w:val="21"/>
        </w:rPr>
        <w:t>，具备突出的科研创新潜力</w:t>
      </w:r>
      <w:r>
        <w:rPr>
          <w:rFonts w:hint="eastAsia"/>
          <w:sz w:val="21"/>
        </w:rPr>
        <w:t>、</w:t>
      </w:r>
      <w:r>
        <w:rPr>
          <w:sz w:val="21"/>
        </w:rPr>
        <w:t>AI for Science研究基础</w:t>
      </w:r>
      <w:r>
        <w:rPr>
          <w:rFonts w:hint="eastAsia"/>
          <w:sz w:val="21"/>
        </w:rPr>
        <w:t>以及项目落地能力</w:t>
      </w:r>
      <w:r>
        <w:rPr>
          <w:sz w:val="21"/>
        </w:rPr>
        <w:t>。团队汇聚人工智能与化学领域青年科研力量，覆盖</w:t>
      </w:r>
      <w:r>
        <w:rPr>
          <w:rFonts w:hint="eastAsia"/>
          <w:sz w:val="21"/>
        </w:rPr>
        <w:t>化学实验、</w:t>
      </w:r>
      <w:r>
        <w:rPr>
          <w:sz w:val="21"/>
        </w:rPr>
        <w:t>知识图谱、科研智能体、具身智能等关键方向，形成从科学知识发现、研究方案生成到物理实验验证的全链条交叉创新能力。</w:t>
      </w:r>
    </w:p>
    <w:p>
      <w:pPr>
        <w:pStyle w:val="000003"/>
        <w:snapToGrid w:val="1"/>
        <w:spacing w:line="240"/>
        <w:ind/>
        <w:rPr>
          <w:rFonts w:hint="eastAsia"/>
          <w:i w:val="0"/>
          <w:strike w:val="0"/>
          <w:color w:val="000000"/>
          <w:u w:val="none"/>
        </w:rPr>
      </w:pPr>
      <w:bookmarkStart w:id="79" w:name="_Toc11p7eq"/>
      <w:r>
        <w:rPr>
          <w:rFonts w:hint="eastAsia"/>
          <w:i w:val="0"/>
          <w:strike w:val="0"/>
          <w:color w:val="000000"/>
          <w:u w:val="none"/>
        </w:rPr>
        <w:t>5</w:t>
      </w:r>
      <w:r>
        <w:rPr>
          <w:rFonts w:hint="eastAsia"/>
          <w:i w:val="0"/>
          <w:strike w:val="0"/>
          <w:color w:val="000000"/>
          <w:u w:val="none"/>
        </w:rPr>
        <w:t>.2 完整实验平台</w:t>
      </w:r>
      <w:bookmarkEnd w:id="79"/>
    </w:p>
    <w:p>
      <w:pPr>
        <w:pStyle w:val="eti4qs"/>
        <w:pBdr>
          <w:bottom/>
        </w:pBdr>
        <w:snapToGrid w:val="0"/>
        <w:spacing w:before="0" w:after="0" w:line="240"/>
        <w:ind w:firstLineChars="200"/>
        <w:rPr>
          <w:sz w:val="21"/>
        </w:rPr>
      </w:pPr>
      <w:r>
        <w:rPr>
          <w:sz w:val="21"/>
        </w:rPr>
        <w:t>项目具备较完整的算法研发—实验技能—机械臂执行—真实反馈技术与实验基础。团队已搭建基于SkillNet与LabVLA的智能真机实验体系，在真实Franka机械臂平台完成液体倾倒、摇匀、磁力搅拌、塞子插拔等多步骤实验操作，实现科研方案向机器人连续动作的自动转化，并能够同步记录视觉状态、设备状态、操作轨迹和实验结果。</w:t>
      </w:r>
    </w:p>
    <w:p>
      <w:pPr>
        <w:pStyle w:val="eti4qs"/>
        <w:pBdr>
          <w:bottom/>
        </w:pBdr>
        <w:snapToGrid w:val="0"/>
        <w:spacing w:before="0" w:after="0" w:line="240"/>
        <w:ind w:firstLineChars="200"/>
        <w:rPr>
          <w:sz w:val="21"/>
        </w:rPr>
      </w:pPr>
      <w:r>
        <w:rPr>
          <w:sz w:val="21"/>
        </w:rPr>
        <w:t>与传统自动化设备仅执行预设程序不同，启真Scientist进一步将大模型科研决策、标准化实验技能和物理实验装置贯通，使机械臂不仅“自动操作”，更能够接受上层AI科学家的研究方案，并将真实世界实验结果反向驱动下一轮决策，为项目开展长期、连续、可追溯的自主化学实验提供了坚实的平台基础。</w:t>
      </w:r>
    </w:p>
    <w:p>
      <w:pPr>
        <w:pStyle w:val="000003"/>
        <w:snapToGrid w:val="1"/>
        <w:spacing w:line="240"/>
        <w:ind/>
        <w:rPr>
          <w:rFonts w:hint="eastAsia"/>
          <w:i w:val="0"/>
          <w:strike w:val="0"/>
          <w:color w:val="000000"/>
          <w:u w:val="none"/>
        </w:rPr>
      </w:pPr>
      <w:bookmarkStart w:id="80" w:name="_Tocke96in"/>
      <w:r>
        <w:rPr>
          <w:rFonts w:hint="eastAsia"/>
          <w:i w:val="0"/>
          <w:strike w:val="0"/>
          <w:color w:val="000000"/>
          <w:u w:val="none"/>
        </w:rPr>
        <w:t>5</w:t>
      </w:r>
      <w:r>
        <w:rPr>
          <w:rFonts w:hint="eastAsia"/>
          <w:i w:val="0"/>
          <w:strike w:val="0"/>
          <w:color w:val="000000"/>
          <w:u w:val="none"/>
        </w:rPr>
        <w:t xml:space="preserve">.3 </w:t>
      </w:r>
      <w:r>
        <w:rPr>
          <w:i w:val="0"/>
          <w:strike w:val="0"/>
          <w:color w:val="000000"/>
          <w:u w:val="none"/>
        </w:rPr>
        <w:t>多机构</w:t>
      </w:r>
      <w:r>
        <w:rPr>
          <w:rFonts w:hint="eastAsia"/>
          <w:i w:val="0"/>
          <w:strike w:val="0"/>
          <w:color w:val="000000"/>
          <w:u w:val="none"/>
        </w:rPr>
        <w:t>合作</w:t>
      </w:r>
      <w:bookmarkEnd w:id="80"/>
    </w:p>
    <w:p>
      <w:pPr>
        <w:pStyle w:val="eti4qs"/>
        <w:pBdr>
          <w:bottom/>
        </w:pBdr>
        <w:snapToGrid w:val="0"/>
        <w:spacing w:before="0" w:after="0" w:line="240"/>
        <w:ind w:firstLineChars="200"/>
        <w:rPr>
          <w:sz w:val="21"/>
        </w:rPr>
      </w:pPr>
      <w:r>
        <w:rPr>
          <w:sz w:val="21"/>
        </w:rPr>
        <w:t>项目依托“新一代人工智能”国家科技重大专项等国家级科研任务，与国内外多家高校和机构建立了长期合作基础，围绕知识图谱、AI for Science、科研智能体、具身智能与化学实验开展协同研究，形成人工智能算法研发到真实化学实验验证的跨学科合作</w:t>
      </w:r>
      <w:r>
        <w:rPr>
          <w:rFonts w:hint="eastAsia"/>
          <w:sz w:val="21"/>
        </w:rPr>
        <w:t>网</w:t>
      </w:r>
      <w:r>
        <w:rPr>
          <w:sz w:val="21"/>
        </w:rPr>
        <w:t>络。</w:t>
      </w:r>
    </w:p>
    <w:p>
      <w:pPr>
        <w:pStyle w:val="eti4qs"/>
        <w:pBdr>
          <w:bottom/>
        </w:pBdr>
        <w:snapToGrid w:val="0"/>
        <w:spacing w:before="0" w:after="0" w:line="240"/>
        <w:ind w:firstLineChars="200"/>
        <w:rPr>
          <w:sz w:val="21"/>
        </w:rPr>
      </w:pPr>
      <w:r>
        <w:rPr>
          <w:sz w:val="21"/>
        </w:rPr>
        <w:t>在具体合作中，项目通过三类协同推动技术落地：一是联合人工智能与知识工程团队，持续完善SciAtlas科学知识底座、科研推理与自主迭代能力；二是联合化学实验与自动化平台，开展反应条件优化、机械臂实验执行及多设备接口适配，实现算法方案在真实实验环境中的验证；三是联合高校、科研院所及化工、医药、材料、能源等领域研发单位，引入真实科研问题、实验数据和应用场景，开展跨实验室复现、第三方验证与示范应用。 通过上述合作，项目逐步形成“联合研发—真机验证—跨机构复现—场景示范”的协同机制，为启真Scientist由科研原型走向可复制、可推广的智能科研基础设施提供支撑。</w:t>
      </w:r>
    </w:p>
    <w:p>
      <w:pPr>
        <w:pStyle w:val="000002"/>
        <w:snapToGrid w:val="1"/>
        <w:spacing w:line="240"/>
        <w:ind/>
        <w:rPr/>
      </w:pPr>
      <w:bookmarkStart w:id="81" w:name="_Tocemvzjh"/>
      <w:r>
        <w:rPr>
          <w:rFonts w:hint="eastAsia"/>
          <w:i w:val="0"/>
          <w:strike w:val="0"/>
          <w:color w:val="000000"/>
          <w:u w:val="none"/>
        </w:rPr>
        <w:t>6</w:t>
      </w:r>
      <w:r>
        <w:rPr>
          <w:i w:val="0"/>
          <w:strike w:val="0"/>
          <w:color w:val="000000"/>
          <w:u w:val="none"/>
        </w:rPr>
        <w:t xml:space="preserve"> 总结与展望</w:t>
      </w:r>
      <w:bookmarkEnd w:id="81"/>
    </w:p>
    <w:p>
      <w:pPr>
        <w:pStyle w:val="000003"/>
        <w:snapToGrid w:val="1"/>
        <w:spacing w:line="240"/>
        <w:ind/>
        <w:rPr/>
      </w:pPr>
      <w:bookmarkStart w:id="82" w:name="_Toceyl9qu"/>
      <w:r>
        <w:rPr>
          <w:rFonts w:hint="eastAsia"/>
          <w:i w:val="0"/>
          <w:strike w:val="0"/>
          <w:color w:val="000000"/>
          <w:u w:val="none"/>
        </w:rPr>
        <w:t>6</w:t>
      </w:r>
      <w:r>
        <w:rPr>
          <w:i w:val="0"/>
          <w:strike w:val="0"/>
          <w:color w:val="000000"/>
          <w:u w:val="none"/>
        </w:rPr>
        <w:t>.1 形成贯通知识、实验与进化的化学智能科研闭环</w:t>
      </w:r>
      <w:bookmarkEnd w:id="82"/>
    </w:p>
    <w:p>
      <w:pPr>
        <w:pStyle w:val="eti4qs"/>
        <w:pBdr>
          <w:bottom/>
        </w:pBdr>
        <w:snapToGrid w:val="0"/>
        <w:spacing w:before="0" w:after="0" w:line="240"/>
        <w:ind w:firstLineChars="200"/>
        <w:rPr>
          <w:sz w:val="21"/>
        </w:rPr>
      </w:pPr>
      <w:r>
        <w:rPr>
          <w:sz w:val="21"/>
        </w:rPr>
        <w:t>本项目面向化学科研中知识高度分散、实验空间庞大、物理执行链路不完整以及实验反馈难以解释等关键问题，构建了启真Scientist知识—实验闭环智能系统。系统不以单一模型或单项自动化工具为中心，而是将科学知识组织、研究假设形成、实验方案设计、真机物理执行、科学评价诊断与经验持续沉淀统一到同一框架，形成“知识启发—真机验证—反馈进化”的完整科研闭环。</w:t>
      </w:r>
    </w:p>
    <w:p>
      <w:pPr>
        <w:pStyle w:val="eti4qs"/>
        <w:pBdr>
          <w:bottom/>
        </w:pBdr>
        <w:snapToGrid w:val="0"/>
        <w:spacing w:before="0" w:after="0" w:line="240"/>
        <w:ind w:firstLineChars="200"/>
        <w:rPr>
          <w:sz w:val="21"/>
        </w:rPr>
      </w:pPr>
      <w:r>
        <w:rPr>
          <w:sz w:val="21"/>
        </w:rPr>
        <w:t>在知识发现层，项目构建覆盖26个学科、4300万篇科学论文、1.57亿个科学实体和30亿条知识关系的SciAtlas，将分散文献重构为可定位、可关联、可推演的科学知识空间，并利用跨学科拓扑关系发现传统语义检索难以触及的知识联系。在实验执行层，项目以SkillNet对加样、倾倒、搅拌、取样和检测等操作进行标准化技能建模，以LabVLA实现实验协议、多模态环境感知与机器人连续动作之间的映射，打通上层科研决策与真实实验装置之间的执行链路。在反馈进化层，项目基于AutoSciRub构建任务特定的科研评价规范，将科学目标、实验指标、对照关系、证据要求、安全边界和停止条件显式化，并依据实验结果、设备状态和操作轨迹定位失效原因，驱动下一轮实验方案的定向调整。</w:t>
      </w:r>
    </w:p>
    <w:p>
      <w:pPr>
        <w:pStyle w:val="eti4qs"/>
        <w:pBdr>
          <w:bottom/>
        </w:pBdr>
        <w:snapToGrid w:val="0"/>
        <w:spacing w:before="0" w:after="0" w:line="240"/>
        <w:ind w:firstLineChars="200"/>
        <w:rPr>
          <w:sz w:val="21"/>
        </w:rPr>
      </w:pPr>
      <w:r>
        <w:rPr>
          <w:sz w:val="21"/>
        </w:rPr>
        <w:t xml:space="preserve">代表性化学任务验证表明，启真Scientist的价值并不局限于完成自动化实验，而在于利用科学知识和真实反馈提高有限实验预算的使用效率。在Suzuki–Miyaura偶联反应条件优化中，启真Scientist与Atlas基线采用相同初始数据、候选空间和20轮实验预算。前者在第11轮获得96.30%的产率结果，较基线提前5轮达到目标，达到高产率目标所需实验量减少31.25%；在完整预算内，产率不低于95%的新条件由1个增加至4个。实验轨迹进一步表明，系统能够识别连续低产率所反映的搜索停滞，通过调整候选方向、单变量验证和受控条件扫描逐步进入高产率区域，使实验优化过程具有明确的知识依据和变量控制关系。 </w:t>
      </w:r>
    </w:p>
    <w:p>
      <w:pPr>
        <w:pStyle w:val="eti4qs"/>
        <w:pBdr>
          <w:bottom/>
        </w:pBdr>
        <w:snapToGrid w:val="0"/>
        <w:spacing w:before="0" w:after="0" w:line="240"/>
        <w:ind w:firstLineChars="200"/>
        <w:rPr>
          <w:sz w:val="21"/>
        </w:rPr>
      </w:pPr>
      <w:r>
        <w:rPr>
          <w:sz w:val="21"/>
        </w:rPr>
        <w:t>本项目同时将安全性纳入智能实验系统的部署前验证。在化学模型安全研究中，项目发现即使教师模型生成的训练数据逐条通过语义安全过滤，学生模型仍可能继承非预期实验行为，并在多模态实验室安全问题上表现出显著风险。该结果说明，智能科研系统的安全评估不能仅依赖训练数据内容审查，而应同时关注数据分布、模型参数和部署行为之间的作用链路。科研效率验证与部署安全研究共同构成启真Scientist的两项现实基础：既要使系统能够更快发现有效实验条件，也要保证模型能力进入真实实验环境之前具有可检查、可约束和可追溯的安全边界。</w:t>
      </w:r>
    </w:p>
    <w:p>
      <w:pPr>
        <w:pStyle w:val="000003"/>
        <w:snapToGrid w:val="1"/>
        <w:spacing w:line="240"/>
        <w:ind/>
        <w:rPr/>
      </w:pPr>
      <w:bookmarkStart w:id="83" w:name="_Toc0np477"/>
      <w:r>
        <w:rPr>
          <w:rFonts w:hint="eastAsia"/>
          <w:i w:val="0"/>
          <w:strike w:val="0"/>
          <w:color w:val="000000"/>
          <w:u w:val="none"/>
        </w:rPr>
        <w:t>6</w:t>
      </w:r>
      <w:r>
        <w:rPr>
          <w:i w:val="0"/>
          <w:strike w:val="0"/>
          <w:color w:val="000000"/>
          <w:u w:val="none"/>
        </w:rPr>
        <w:t>.2 从代表性任务验证走向智能科研基础设施</w:t>
      </w:r>
      <w:bookmarkEnd w:id="83"/>
    </w:p>
    <w:p>
      <w:pPr>
        <w:pStyle w:val="eti4qs"/>
        <w:pBdr>
          <w:bottom/>
        </w:pBdr>
        <w:snapToGrid w:val="0"/>
        <w:spacing w:before="0" w:after="0" w:line="240"/>
        <w:ind w:firstLineChars="200"/>
        <w:rPr>
          <w:sz w:val="21"/>
        </w:rPr>
      </w:pPr>
      <w:r>
        <w:rPr>
          <w:sz w:val="21"/>
        </w:rPr>
        <w:t>当前项目已完成核心模块原型研发，并在知识发现、实验技能编排、具身真机执行、科学评价迭代及代表性化学任务中形成初步验证。下一阶段将重点推动系统由单一任务和局部装置上的闭环验证，走向多反应类型、多实验设备和多实验室环境下的稳定运行。项目将进一步接入自动加样、温度控制、在线取样、色谱和光谱表征等实验设施，完善机械臂、反应装置、传感器和分析仪器之间的标准接口，使实验方案、物理操作、结果检测和科学判断形成更加完整的自动化链路。</w:t>
      </w:r>
    </w:p>
    <w:p>
      <w:pPr>
        <w:pStyle w:val="eti4qs"/>
        <w:pBdr>
          <w:bottom/>
        </w:pBdr>
        <w:snapToGrid w:val="0"/>
        <w:spacing w:before="0" w:after="0" w:line="240"/>
        <w:ind w:firstLineChars="200"/>
        <w:rPr>
          <w:sz w:val="21"/>
        </w:rPr>
      </w:pPr>
      <w:r>
        <w:rPr>
          <w:sz w:val="21"/>
        </w:rPr>
        <w:t>在能力建设方面，项目将持续扩充标准化实验技能库，积累包括高产率条件、低产率条件、设备异常、操作失败和无效实验路径在内的结构化数据。每项经验将同时记录其适用对象、实验条件、设备环境、证据来源和失效边界，避免将单次成功简单固化为缺少适用范围的通用规则。通过将实验轨迹、评价结论和技能更新相互关联，系统可逐步形成能够跨任务复用的实验策略和科研能力，使后一轮研究建立在前序实验已经获得的知识和经验之上。</w:t>
      </w:r>
    </w:p>
    <w:p>
      <w:pPr>
        <w:pStyle w:val="eti4qs"/>
        <w:pBdr>
          <w:bottom/>
        </w:pBdr>
        <w:snapToGrid w:val="0"/>
        <w:spacing w:before="0" w:after="0" w:line="240"/>
        <w:ind w:firstLineChars="200"/>
        <w:rPr>
          <w:sz w:val="21"/>
        </w:rPr>
      </w:pPr>
      <w:r>
        <w:rPr>
          <w:sz w:val="21"/>
        </w:rPr>
        <w:t>在系统验证方面，项目将进一步开展跨实验室、跨设备和跨试剂批次的对照实验，引入第三方研究团队按照统一起点、统一实验预算和统一评价指标进行复现，重点考察实验效率、重复性、装置稳定性、失效归因能力和安全运行水平。同时完善危险化学品管理、参数限值、设备联锁、异常中止、人工接管和全过程留痕机制，使系统能够在明确责任边界和安全约束下长期运行。</w:t>
      </w:r>
    </w:p>
    <w:p>
      <w:pPr>
        <w:pStyle w:val="eti4qs"/>
        <w:pBdr/>
        <w:snapToGrid w:val="0"/>
        <w:spacing w:before="0" w:after="0" w:line="240"/>
        <w:ind w:firstLineChars="200"/>
        <w:rPr>
          <w:sz w:val="21"/>
        </w:rPr>
      </w:pPr>
      <w:r>
        <w:rPr>
          <w:sz w:val="21"/>
        </w:rPr>
        <w:t>启真Scientist的最终目标，不是将人工智能简单叠加到现有科研流程之上，而是建立一个由科学知识提出方向、由真实实验产生证据、由科学评价解释反馈、由长期实践积累能力的持续科研系统。随着知识底座、真机平台、评价机制和实验数据体系不断完善，项目将进一步面向催化反应优化、合成路线探索、材料制备和实验条件筛选等场景开展应用，推动人工智能由科研信息处理工具发展为能够进入实验室、接受物理事实检验并持续改进研究能力的新型科学基础设施。</w:t>
      </w:r>
    </w:p>
    <w:p>
      <w:pPr>
        <w:pStyle w:val="000001"/>
        <w:pBdr>
          <w:bottom/>
        </w:pBdr>
        <w:snapToGrid w:val="0"/>
        <w:spacing w:before="0" w:after="0" w:line="240"/>
        <w:ind w:firstLineChars="200"/>
        <w:rPr>
          <w:sz w:val="21"/>
        </w:rPr>
      </w:pPr>
    </w:p>
    <w:p>
      <w:pPr>
        <w:pStyle w:val="000002"/>
        <w:ind w:left="0"/>
        <w:rPr/>
        <w:sectPr w:rsidR="009E7FC9">
          <w:pgSz w:w="11906" w:h="16838"/>
          <w:pgMar w:top="1440" w:right="1797" w:bottom="1440" w:left="1797" w:header="851" w:footer="992" w:gutter="0"/>
          <w:pgNumType w:fmt="decimal" w:chapStyle="1" w:chapSep="hyphen"/>
          <w:cols w:space="0"/>
          <w:docGrid w:type="lines" w:linePitch="387"/>
        </w:sectPr>
      </w:pPr>
    </w:p>
    <w:p>
      <w:pPr>
        <w:pStyle w:val="ozm0ah"/>
        <w:rPr/>
      </w:pPr>
      <w:bookmarkStart w:id="84" w:name="_Tocszgguq"/>
      <w:bookmarkStart w:id="85" w:name="_Tocfnamy8"/>
      <w:r>
        <w:rPr/>
        <w:t>参考文献</w:t>
      </w:r>
      <w:bookmarkEnd w:id="84"/>
      <w:bookmarkEnd w:id="85"/>
    </w:p>
    <w:p>
      <w:pPr>
        <w:pBdr>
          <w:bottom/>
        </w:pBdr>
        <w:snapToGrid w:val="0"/>
        <w:spacing w:before="0" w:after="0" w:line="240"/>
        <w:ind w:hangingChars="200"/>
        <w:jc w:val="left"/>
        <w:rPr>
          <w:rFonts w:ascii="Times New Roman" w:hAnsi="Times New Roman" w:cs="Times New Roman"/>
          <w:sz w:val="21"/>
        </w:rPr>
      </w:pPr>
      <w:r>
        <w:rPr>
          <w:rFonts w:ascii="Times New Roman" w:hAnsi="Times New Roman" w:cs="Times New Roman"/>
          <w:i w:val="0"/>
          <w:strike w:val="0"/>
          <w:spacing w:val="0"/>
          <w:sz w:val="21"/>
          <w:u w:val="none"/>
        </w:rPr>
        <w:t>[1] GOTTWEIS J, WENG W H, DARYIN A, et al. Towards an AI co-scientist[EB/OL]. (2025-02-26)[2026-08-31]. https://arxiv.org/abs/2502.18864.</w:t>
      </w:r>
    </w:p>
    <w:p>
      <w:pPr>
        <w:pBdr>
          <w:bottom/>
        </w:pBdr>
        <w:snapToGrid w:val="0"/>
        <w:spacing w:before="0" w:after="0" w:line="240"/>
        <w:ind w:hangingChars="200"/>
        <w:jc w:val="left"/>
        <w:rPr>
          <w:rFonts w:ascii="Times New Roman" w:hAnsi="Times New Roman" w:cs="Times New Roman"/>
          <w:sz w:val="21"/>
        </w:rPr>
      </w:pPr>
      <w:r>
        <w:rPr>
          <w:rFonts w:ascii="Times New Roman" w:hAnsi="Times New Roman" w:cs="Times New Roman"/>
          <w:i w:val="0"/>
          <w:strike w:val="0"/>
          <w:spacing w:val="0"/>
          <w:sz w:val="21"/>
          <w:u w:val="none"/>
        </w:rPr>
        <w:t>[2] BOIKO D A, MACKNIGHT R, KLINE B, et al. Autonomous chemical research with large language models[J]. Nature, 2023, 624(7992): 570-578.</w:t>
      </w:r>
    </w:p>
    <w:p>
      <w:pPr>
        <w:pBdr>
          <w:bottom/>
        </w:pBdr>
        <w:snapToGrid w:val="0"/>
        <w:spacing w:before="0" w:after="0" w:line="240"/>
        <w:ind w:hangingChars="200"/>
        <w:jc w:val="left"/>
        <w:rPr>
          <w:rFonts w:ascii="Times New Roman" w:hAnsi="Times New Roman" w:cs="Times New Roman"/>
          <w:sz w:val="21"/>
        </w:rPr>
      </w:pPr>
      <w:r>
        <w:rPr>
          <w:rFonts w:ascii="Times New Roman" w:hAnsi="Times New Roman" w:cs="Times New Roman"/>
          <w:i w:val="0"/>
          <w:strike w:val="0"/>
          <w:spacing w:val="0"/>
          <w:sz w:val="21"/>
          <w:u w:val="none"/>
        </w:rPr>
        <w:t>[3] SZYMANSKI N J, RENDY B, FEI Y, et al. An autonomous laboratory for the acceleratedsynthesis of inorganic materials[J]. Nature, 2023, 624(7990): 86-91.</w:t>
      </w:r>
    </w:p>
    <w:p>
      <w:pPr>
        <w:pBdr>
          <w:bottom/>
        </w:pBdr>
        <w:snapToGrid w:val="0"/>
        <w:spacing w:before="0" w:after="0" w:line="240"/>
        <w:ind w:hangingChars="200"/>
        <w:jc w:val="left"/>
        <w:rPr>
          <w:rFonts w:ascii="Times New Roman" w:hAnsi="Times New Roman" w:cs="Times New Roman"/>
          <w:sz w:val="21"/>
        </w:rPr>
      </w:pPr>
      <w:r>
        <w:rPr>
          <w:rFonts w:ascii="Times New Roman" w:hAnsi="Times New Roman" w:cs="Times New Roman"/>
          <w:i w:val="0"/>
          <w:strike w:val="0"/>
          <w:spacing w:val="0"/>
          <w:sz w:val="21"/>
          <w:u w:val="none"/>
        </w:rPr>
        <w:t xml:space="preserve">[4] </w:t>
      </w:r>
      <w:r>
        <w:rPr>
          <w:rFonts w:ascii="宋体" w:hAnsi="宋体" w:eastAsia="宋体" w:cs="宋体"/>
          <w:i w:val="0"/>
          <w:strike w:val="0"/>
          <w:spacing w:val="0"/>
          <w:sz w:val="21"/>
          <w:u w:val="none"/>
        </w:rPr>
        <w:t>国务院. 国务院关于深入实施“人工智能+”行动的意见：国发〔2025〕11号</w:t>
      </w:r>
      <w:r>
        <w:rPr>
          <w:rFonts w:ascii="Times New Roman" w:hAnsi="Times New Roman" w:cs="Times New Roman"/>
          <w:i w:val="0"/>
          <w:strike w:val="0"/>
          <w:spacing w:val="0"/>
          <w:sz w:val="21"/>
          <w:u w:val="none"/>
        </w:rPr>
        <w:t>[EB/OL](2025-08-21)[2026-08-31]. https://www.gov.cn/zhengce/content/202508/content_7037861.htm.</w:t>
      </w:r>
    </w:p>
    <w:p>
      <w:pPr>
        <w:pBdr>
          <w:bottom/>
        </w:pBdr>
        <w:snapToGrid w:val="0"/>
        <w:spacing w:before="0" w:after="0" w:line="240"/>
        <w:ind w:hangingChars="200"/>
        <w:jc w:val="left"/>
        <w:rPr>
          <w:rFonts w:ascii="Times New Roman" w:hAnsi="Times New Roman" w:cs="Times New Roman"/>
          <w:sz w:val="21"/>
        </w:rPr>
      </w:pPr>
      <w:r>
        <w:rPr>
          <w:rFonts w:ascii="Times New Roman" w:hAnsi="Times New Roman" w:cs="Times New Roman"/>
          <w:i w:val="0"/>
          <w:strike w:val="0"/>
          <w:spacing w:val="0"/>
          <w:sz w:val="21"/>
          <w:u w:val="none"/>
        </w:rPr>
        <w:t>[5] SHAO C, HUANG D, LI Y, et al. OmniScientist: Toward a co-evolving ecosystem of human and AI scientists[EB/OL]. (2025-11-21)[2026-08-31]. https://arxiv.org/abs/2511.16931.</w:t>
      </w:r>
    </w:p>
    <w:p>
      <w:pPr>
        <w:pBdr>
          <w:bottom/>
        </w:pBdr>
        <w:snapToGrid w:val="0"/>
        <w:spacing w:before="0" w:after="0" w:line="240"/>
        <w:ind w:hangingChars="200"/>
        <w:jc w:val="left"/>
        <w:rPr>
          <w:rFonts w:ascii="Times New Roman" w:hAnsi="Times New Roman" w:cs="Times New Roman"/>
          <w:sz w:val="21"/>
        </w:rPr>
      </w:pPr>
      <w:r>
        <w:rPr>
          <w:rFonts w:ascii="Times New Roman" w:hAnsi="Times New Roman" w:cs="Times New Roman"/>
          <w:i w:val="0"/>
          <w:strike w:val="0"/>
          <w:spacing w:val="0"/>
          <w:sz w:val="21"/>
          <w:u w:val="none"/>
        </w:rPr>
        <w:t>[6] LU C, LU C, LANGE R T, et al. The AI Scientist: Towards fully automated open-ended scientific discovery[EB/OL]. (2024-08-12)[2026-08-31]. https://arxiv.org/abs/2408.06292.</w:t>
      </w:r>
    </w:p>
    <w:p>
      <w:pPr>
        <w:pBdr>
          <w:bottom/>
        </w:pBdr>
        <w:snapToGrid w:val="0"/>
        <w:spacing w:before="0" w:after="0" w:line="240"/>
        <w:ind w:hangingChars="200"/>
        <w:jc w:val="left"/>
        <w:rPr>
          <w:rFonts w:ascii="Times New Roman" w:hAnsi="Times New Roman" w:cs="Times New Roman"/>
          <w:sz w:val="21"/>
        </w:rPr>
      </w:pPr>
      <w:r>
        <w:rPr>
          <w:rFonts w:ascii="Times New Roman" w:hAnsi="Times New Roman" w:cs="Times New Roman"/>
          <w:i w:val="0"/>
          <w:strike w:val="0"/>
          <w:spacing w:val="0"/>
          <w:sz w:val="21"/>
          <w:u w:val="none"/>
        </w:rPr>
        <w:t>[7] YANG R, LI Y, LI S. ARIS: Autonomous research via adversarial multi-agent collaboration[EB/OL]. (2026-05-04)[2026-08-31]. https://arxiv.org/abs/2605.03042.</w:t>
      </w:r>
    </w:p>
    <w:p>
      <w:pPr>
        <w:pBdr>
          <w:bottom/>
        </w:pBdr>
        <w:snapToGrid w:val="0"/>
        <w:spacing w:before="0" w:after="0" w:line="240"/>
        <w:ind w:hangingChars="200"/>
        <w:jc w:val="left"/>
        <w:rPr>
          <w:rFonts w:ascii="Times New Roman" w:hAnsi="Times New Roman" w:cs="Times New Roman"/>
          <w:sz w:val="21"/>
        </w:rPr>
      </w:pPr>
      <w:r>
        <w:rPr>
          <w:rFonts w:ascii="Times New Roman" w:hAnsi="Times New Roman" w:cs="Times New Roman"/>
          <w:i w:val="0"/>
          <w:strike w:val="0"/>
          <w:spacing w:val="0"/>
          <w:sz w:val="21"/>
          <w:u w:val="none"/>
        </w:rPr>
        <w:t>[8] WANG G, XIE Y, JIANG Y, et al. Voyager: An open-ended embodied agent with large language models[J]. Transactions on Machine Learning Research, 2024.</w:t>
      </w:r>
    </w:p>
    <w:p>
      <w:pPr>
        <w:pBdr>
          <w:bottom/>
        </w:pBdr>
        <w:snapToGrid w:val="0"/>
        <w:spacing w:before="0" w:after="0" w:line="240"/>
        <w:ind w:hangingChars="200"/>
        <w:jc w:val="left"/>
        <w:rPr>
          <w:rFonts w:ascii="Times New Roman" w:hAnsi="Times New Roman" w:cs="Times New Roman"/>
          <w:sz w:val="21"/>
        </w:rPr>
      </w:pPr>
      <w:r>
        <w:rPr>
          <w:rFonts w:ascii="Times New Roman" w:hAnsi="Times New Roman" w:cs="Times New Roman"/>
          <w:i w:val="0"/>
          <w:strike w:val="0"/>
          <w:spacing w:val="0"/>
          <w:sz w:val="21"/>
          <w:u w:val="none"/>
        </w:rPr>
        <w:t>[9] LIN H, LI P, SONG J, et al. MUSE-Autoskill: Self-evolving agents via skill creation, memory, management, and evaluation[EB/OL]. (2026-05-26)[2026-08-31]. https://arxiv.org/abs/2605.27366.</w:t>
      </w:r>
    </w:p>
    <w:p>
      <w:pPr>
        <w:pBdr>
          <w:bottom/>
        </w:pBdr>
        <w:snapToGrid w:val="0"/>
        <w:spacing w:before="0" w:after="0" w:line="240"/>
        <w:ind w:hangingChars="200"/>
        <w:jc w:val="left"/>
        <w:rPr>
          <w:rFonts w:ascii="Times New Roman" w:hAnsi="Times New Roman" w:cs="Times New Roman"/>
          <w:sz w:val="21"/>
        </w:rPr>
      </w:pPr>
      <w:r>
        <w:rPr>
          <w:rFonts w:ascii="Times New Roman" w:hAnsi="Times New Roman" w:cs="Times New Roman"/>
          <w:i w:val="0"/>
          <w:strike w:val="0"/>
          <w:spacing w:val="0"/>
          <w:sz w:val="21"/>
          <w:u w:val="none"/>
        </w:rPr>
        <w:t>[10] ZHANG J, XIANG J, YU Z, et al. AFlow: Automating agentic workflow generation[C]//The Thirteenth International Conference on Learning Representations. 2025.</w:t>
      </w:r>
    </w:p>
    <w:p>
      <w:pPr>
        <w:pBdr>
          <w:bottom/>
        </w:pBdr>
        <w:snapToGrid w:val="0"/>
        <w:spacing w:before="0" w:after="0" w:line="240"/>
        <w:ind w:hangingChars="200"/>
        <w:jc w:val="left"/>
        <w:rPr>
          <w:rFonts w:ascii="Times New Roman" w:hAnsi="Times New Roman" w:cs="Times New Roman"/>
          <w:sz w:val="21"/>
        </w:rPr>
      </w:pPr>
      <w:r>
        <w:rPr>
          <w:rFonts w:ascii="Times New Roman" w:hAnsi="Times New Roman" w:cs="Times New Roman"/>
          <w:i w:val="0"/>
          <w:strike w:val="0"/>
          <w:spacing w:val="0"/>
          <w:sz w:val="21"/>
          <w:u w:val="none"/>
        </w:rPr>
        <w:t>[11] ZHAI Y, TAO S, CHEN C, et al. AgentEvolver: Towards efficient self-evolving agent system[EB/OL]. (2025-11-13)[2026-08-31]. https://arxiv.org/abs/2511.10395.</w:t>
      </w:r>
    </w:p>
    <w:p>
      <w:pPr>
        <w:pBdr>
          <w:bottom/>
        </w:pBdr>
        <w:snapToGrid w:val="0"/>
        <w:spacing w:before="0" w:after="0" w:line="240"/>
        <w:ind w:hangingChars="200"/>
        <w:jc w:val="left"/>
        <w:rPr>
          <w:rFonts w:ascii="Times New Roman" w:hAnsi="Times New Roman" w:cs="Times New Roman"/>
          <w:i w:val="0"/>
          <w:strike w:val="0"/>
          <w:spacing w:val="0"/>
          <w:sz w:val="21"/>
          <w:u w:val="none"/>
        </w:rPr>
      </w:pPr>
      <w:r>
        <w:rPr>
          <w:rFonts w:ascii="Times New Roman" w:hAnsi="Times New Roman" w:cs="Times New Roman"/>
          <w:i w:val="0"/>
          <w:strike w:val="0"/>
          <w:spacing w:val="0"/>
          <w:sz w:val="21"/>
          <w:u w:val="none"/>
        </w:rPr>
        <w:t>[12] LYU Y, ZHANG X, YI X, et al. EvoScientist: Towards multi-agent evolving AI scientists for end-to-end scientific discovery[EB/OL]. (2026-03-09)[2026-08-31]. https://arxiv.org/abs/2603.08127.</w:t>
      </w:r>
    </w:p>
    <w:p>
      <w:pPr>
        <w:pStyle w:val="eti4qs"/>
        <w:pBdr>
          <w:bottom/>
        </w:pBdr>
        <w:snapToGrid w:val="0"/>
        <w:spacing w:before="0" w:after="0" w:line="240"/>
        <w:ind w:firstLineChars="0"/>
        <w:rPr>
          <w:sz w:val="21"/>
        </w:rPr>
      </w:pPr>
    </w:p>
    <w:sectPr w:rsidR="009E7FC9">
      <w:pgSz w:w="11906" w:h="16838"/>
      <w:pgMar w:top="1440" w:right="1797" w:bottom="1440" w:left="1797" w:header="851" w:footer="992" w:gutter="0"/>
      <w:pgNumType w:fmt="decimal" w:chapStyle="1" w:chapSep="hyphen"/>
      <w:cols w:space="0"/>
      <w:docGrid w:type="lines" w:linePitch="387"/>
    </w:sectPr>
  </w:body>
</w:document>
</file>

<file path=word/endnotes.xml><?xml version="1.0" encoding="utf-8"?>
<w:endnotes xmlns:w="http://schemas.openxmlformats.org/wordprocessingml/2006/main">
  <w:endnote w:type="separator" w:id="0">
    <w:p>
      <w:pPr>
        <w:rPr/>
      </w:pPr>
      <w:r>
        <w:rPr/>
        <w:separator/>
      </w:r>
    </w:p>
  </w:endnote>
  <w:endnote w:type="continuationSeparator" w:id="1">
    <w:p>
      <w:pPr>
        <w:rPr/>
      </w:pPr>
      <w:r>
        <w:rPr/>
        <w:continuationSeparator/>
      </w:r>
    </w:p>
  </w:endnote>
</w:endnotes>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 w:name="Arial">
    <w:panose1 w:val="020B0604020202020204"/>
    <w:charset w:val="00" w:characterSet="ISO-8859-1"/>
    <w:family w:val="swiss"/>
    <w:pitch w:val="variable"/>
    <w:sig w:usb0="E0000AFF" w:usb1="00007843" w:usb2="00000001" w:usb3="00000000" w:csb0="000001BF" w:csb1="00000000"/>
  </w:font>
  <w:font w:name="Calibri">
    <w:panose1 w:val="020F0502020204030204"/>
    <w:charset w:val="00" w:characterSet="ISO-8859-1"/>
    <w:family w:val="swiss"/>
    <w:pitch w:val="variable"/>
    <w:sig w:usb0="00000003" w:usb1="00000000" w:usb2="00000001"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Calibri Light">
    <w:panose1 w:val="020F0302020204030204"/>
    <w:charset w:val="00" w:characterSet="ISO-8859-1"/>
    <w:family w:val="swiss"/>
    <w:pitch w:val="variable"/>
    <w:sig w:usb0="A00002EF" w:usb1="4000207B" w:usb2="00000000" w:usb3="00000000" w:csb0="0000019F" w:csb1="00000000"/>
  </w:font>
</w:fonts>
</file>

<file path=word/footer1.xml><?xml version="1.0" encoding="utf-8"?>
<w:ftr xmlns:w="http://schemas.openxmlformats.org/wordprocessingml/2006/main">
  <w:sdt>
    <w:sdtPr>
      <w:id w:val="901363171"/>
      <w:showingPlcHdr w:val="0"/>
      <w:docPartObj>
        <w:docPartGallery w:val="Page Numbers (Bottom of Page)"/>
        <w:docPartUnique w:val="1"/>
      </w:docPartObj>
    </w:sdtPr>
    <w:sdtContent>
      <w:p>
        <w:pPr>
          <w:framePr w:wrap="none" w:hAnchor="margin" w:vAnchor="text" w:xAlign="center" w:y="1"/>
          <w:rPr/>
        </w:pPr>
        <w:r>
          <w:rPr/>
          <w:fldChar w:fldCharType="begin"/>
        </w:r>
        <w:r>
          <w:rPr/>
          <w:instrText>PAGE</w:instrText>
        </w:r>
        <w:r>
          <w:rPr/>
          <w:fldChar w:fldCharType="separate"/>
        </w:r>
        <w:r>
          <w:rPr/>
          <w:t>1</w:t>
        </w:r>
        <w:r>
          <w:rPr/>
          <w:fldChar w:fldCharType="end"/>
        </w:r>
      </w:p>
    </w:sdtContent>
  </w:sdt>
  <w:p>
    <w:pPr>
      <w:pStyle w:val="00000f"/>
      <w:jc w:val="left"/>
      <w:rPr/>
    </w:pPr>
  </w:p>
</w:ftr>
</file>

<file path=word/footer2.xml><?xml version="1.0" encoding="utf-8"?>
<w:ftr xmlns:w="http://schemas.openxmlformats.org/wordprocessingml/2006/main">
  <w:sdt>
    <w:sdtPr>
      <w:id w:val="876193408"/>
      <w:showingPlcHdr w:val="0"/>
      <w:docPartObj>
        <w:docPartGallery w:val="Page Numbers (Bottom of Page)"/>
        <w:docPartUnique w:val="1"/>
      </w:docPartObj>
    </w:sdtPr>
    <w:sdtContent>
      <w:p>
        <w:pPr>
          <w:framePr w:wrap="none" w:hAnchor="margin" w:vAnchor="text" w:xAlign="center" w:y="1"/>
          <w:ind/>
          <w:rPr/>
        </w:pPr>
        <w:r>
          <w:rPr>
            <w:rFonts w:ascii="Times New Roman" w:hAnsi="Times New Roman" w:cs="Times New Roman"/>
            <w:sz w:val="21"/>
          </w:rPr>
          <w:fldChar w:fldCharType="begin"/>
        </w:r>
        <w:r>
          <w:rPr>
            <w:rFonts w:ascii="Times New Roman" w:hAnsi="Times New Roman" w:cs="Times New Roman"/>
            <w:sz w:val="21"/>
          </w:rPr>
          <w:instrText>PAGE</w:instrText>
        </w:r>
        <w:r>
          <w:rPr>
            <w:rFonts w:ascii="Times New Roman" w:hAnsi="Times New Roman" w:cs="Times New Roman"/>
            <w:sz w:val="21"/>
          </w:rPr>
          <w:fldChar w:fldCharType="separate"/>
        </w:r>
        <w:r>
          <w:rPr>
            <w:rFonts w:ascii="Times New Roman" w:hAnsi="Times New Roman" w:cs="Times New Roman"/>
            <w:sz w:val="21"/>
          </w:rPr>
          <w:t>1</w:t>
        </w:r>
        <w:r>
          <w:rPr>
            <w:rFonts w:ascii="Times New Roman" w:hAnsi="Times New Roman" w:cs="Times New Roman"/>
            <w:sz w:val="21"/>
          </w:rPr>
          <w:fldChar w:fldCharType="end"/>
        </w:r>
      </w:p>
    </w:sdtContent>
  </w:sdt>
  <w:p>
    <w:pPr>
      <w:pStyle w:val="00000f"/>
      <w:jc w:val="left"/>
      <w:rPr/>
    </w:pPr>
  </w:p>
</w:ftr>
</file>

<file path=word/footer3.xml><?xml version="1.0" encoding="utf-8"?>
<w:ftr xmlns:w="http://schemas.openxmlformats.org/wordprocessingml/2006/main">
  <w:sdt>
    <w:sdtPr>
      <w:id w:val="342315961"/>
      <w:showingPlcHdr w:val="0"/>
      <w:docPartObj>
        <w:docPartGallery w:val="Page Numbers (Bottom of Page)"/>
        <w:docPartUnique w:val="1"/>
      </w:docPartObj>
    </w:sdtPr>
    <w:sdtContent>
      <w:p>
        <w:pPr>
          <w:framePr w:wrap="none" w:hAnchor="margin" w:vAnchor="text" w:xAlign="center" w:y="1"/>
          <w:rPr/>
        </w:pPr>
        <w:r>
          <w:rPr/>
          <w:fldChar w:fldCharType="begin"/>
        </w:r>
        <w:r>
          <w:rPr/>
          <w:instrText>PAGE</w:instrText>
        </w:r>
        <w:r>
          <w:rPr/>
          <w:fldChar w:fldCharType="separate"/>
        </w:r>
        <w:r>
          <w:rPr/>
          <w:t>1</w:t>
        </w:r>
        <w:r>
          <w:rPr/>
          <w:fldChar w:fldCharType="end"/>
        </w:r>
      </w:p>
    </w:sdtContent>
  </w:sdt>
  <w:p>
    <w:pPr>
      <w:pStyle w:val="00000f"/>
      <w:jc w:val="left"/>
      <w:rPr/>
    </w:pPr>
  </w:p>
</w:ftr>
</file>

<file path=word/header1.xml><?xml version="1.0" encoding="utf-8"?>
<w:hdr xmlns:w="http://schemas.openxmlformats.org/wordprocessingml/2006/main">
  <w:p>
    <w:pPr>
      <w:pStyle w:val="000010"/>
      <w:jc w:val="center"/>
      <w:rPr>
        <w:rFonts w:ascii="宋体" w:hAnsi="宋体" w:eastAsia="宋体" w:cs="宋体"/>
      </w:rPr>
    </w:pPr>
    <w:r>
      <w:rPr>
        <w:rFonts w:ascii="宋体" w:hAnsi="宋体" w:eastAsia="宋体" w:cs="宋体"/>
        <w:i w:val="0"/>
        <w:strike w:val="0"/>
        <w:color w:val="000000"/>
        <w:u w:val="none"/>
      </w:rPr>
      <w:t>启真Scientist：面向化学的知识—实验闭环智能系统</w:t>
    </w:r>
  </w:p>
</w:hdr>
</file>

<file path=word/header2.xml><?xml version="1.0" encoding="utf-8"?>
<w:hdr xmlns:w="http://schemas.openxmlformats.org/wordprocessingml/2006/main">
  <w:p>
    <w:pPr>
      <w:pStyle w:val="000010"/>
      <w:jc w:val="left"/>
      <w:rPr/>
    </w:pPr>
  </w:p>
</w:hdr>
</file>

<file path=word/header3.xml><?xml version="1.0" encoding="utf-8"?>
<w:hdr xmlns:w="http://schemas.openxmlformats.org/wordprocessingml/2006/main">
  <w:p>
    <w:pPr>
      <w:pStyle w:val="000010"/>
      <w:jc w:val="left"/>
      <w:rPr/>
    </w:pPr>
  </w:p>
</w:hdr>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endnotePr>
    <w:endnote w:id="0"/>
    <w:endnote w:id="1"/>
  </w:endnotePr>
  <w:compat>
    <w:spaceForUL w:val="1"/>
    <w:balanceSingleByteDoubleByteWidth w:val="1"/>
    <w:doNotLeaveBackslashAlone w:val="1"/>
    <w:ulTrailSpace w:val="1"/>
    <w:doNotExpandShiftReturn w:val="1"/>
    <w:adjustLineHeightInTable w:val="1"/>
    <w:useFELayout w:val="1"/>
    <w:compatSetting w:name="overrideTableStyleFontSizeAndJustification" w:uri="http://schemas.microsoft.com/office/word" w:val="1"/>
    <w:compatSetting w:name="compatibilityMode" w:uri="http://schemas.microsoft.com/office/word" w:val="15"/>
    <w:compatSetting w:name="doNotFlipMirrorIndents" w:uri="http://schemas.microsoft.com/office/word" w:val="1"/>
    <w:compatSetting w:name="enableOpenTypeFeatures" w:uri="http://schemas.microsoft.com/office/word" w:val="1"/>
    <w:compatSetting w:name="differentiateMultirowTableHeaders" w:uri="http://schemas.microsoft.com/office/word" w:val="1"/>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captions>
    <w:caption w:name="公式" w:pos="below" w:chapNum="0" w:heading="0" w:noLabel="0" w:numFmt="decimal" w:sep="hyphen"/>
    <w:caption w:name="图" w:pos="below" w:chapNum="0" w:heading="1" w:noLabel="0" w:numFmt="decimal" w:sep="period"/>
    <w:caption w:name="表格" w:pos="below" w:chapNum="0" w:heading="0" w:noLabel="0" w:numFmt="decimal" w:sep="hyphen"/>
    <w:caption w:name="图片" w:pos="below" w:chapNum="0" w:heading="1" w:noLabel="1" w:numFmt="decimal" w:sep="period"/>
  </w:caption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List Table 5 Dark Accent 6" w:uiPriority="50"/>
    <w:lsdException w:name="toc 3" w:uiPriority="99"/>
    <w:lsdException w:name="Table List 1" w:semiHidden="1" w:unhideWhenUsed="1"/>
    <w:lsdException w:name="Table Subtle 2" w:semiHidden="1" w:unhideWhenUsed="1"/>
    <w:lsdException w:name="Plain Table 1" w:uiPriority="41"/>
    <w:lsdException w:name="Table Classic 1" w:semiHidden="1" w:unhideWhenUsed="1"/>
    <w:lsdException w:name="Grid Table 5 Dark Accent 2" w:uiPriority="50"/>
    <w:lsdException w:name="List Table 3 Accent 5" w:uiPriority="48"/>
    <w:lsdException w:name="Medium Shading 2 Accent 5" w:uiPriority="64"/>
    <w:lsdException w:name="List Table 1 Light Accent 2" w:uiPriority="46"/>
    <w:lsdException w:name="Grid Table 4 Accent 3" w:uiPriority="49"/>
    <w:lsdException w:name="footnote reference" w:uiPriority="99" w:semiHidden="1" w:unhideWhenUsed="1"/>
    <w:lsdException w:name="Smart Hyperlink" w:uiPriority="99" w:semiHidden="1" w:unhideWhenUsed="1"/>
    <w:lsdException w:name="Table Web 2" w:semiHidden="1" w:unhideWhenUsed="1"/>
    <w:lsdException w:name="heading 3" w:qFormat="1"/>
    <w:lsdException w:name="Medium Grid 3 Accent 3" w:uiPriority="69"/>
    <w:lsdException w:name="List Table 4 Accent 4" w:uiPriority="49"/>
    <w:lsdException w:name="Revision" w:uiPriority="99" w:semiHidden="1"/>
    <w:lsdException w:name="Intense Quote" w:uiPriority="99"/>
    <w:lsdException w:name="Medium List 2 Accent 2" w:uiPriority="66"/>
    <w:lsdException w:name="Medium List 1 Accent 3" w:uiPriority="65"/>
    <w:lsdException w:name="List Table 2 Accent 5" w:uiPriority="47"/>
    <w:lsdException w:name="Grid Table 7 Colorful Accent 2" w:uiPriority="52"/>
    <w:lsdException w:name="toc 7" w:uiPriority="99"/>
    <w:lsdException w:name="Light Shading Accent 1" w:uiPriority="60"/>
    <w:lsdException w:name="List Table 5 Dark Accent 1" w:uiPriority="50"/>
    <w:lsdException w:name="List Table 4 Accent 3" w:uiPriority="49"/>
    <w:lsdException w:name="Unresolved Mention" w:uiPriority="99" w:semiHidden="1" w:unhideWhenUsed="1"/>
    <w:lsdException w:name="Grid Table 3 Accent 3" w:uiPriority="48"/>
    <w:lsdException w:name="Colorful Grid Accent 3" w:uiPriority="73"/>
    <w:lsdException w:name="Table Simple 1" w:semiHidden="1" w:unhideWhenUsed="1"/>
    <w:lsdException w:name="List Table 2 Accent 6" w:uiPriority="47"/>
    <w:lsdException w:name="heading 9" w:unhideWhenUsed="1" w:qFormat="1"/>
    <w:lsdException w:name="Book Title" w:uiPriority="33" w:qFormat="1"/>
    <w:lsdException w:name="List Table 6 Colorful Accent 3" w:uiPriority="51"/>
    <w:lsdException w:name="Medium Shading 1" w:uiPriority="63"/>
    <w:lsdException w:name="Intense Reference" w:uiPriority="32" w:qFormat="1"/>
    <w:lsdException w:name="Light Shading" w:uiPriority="60"/>
    <w:lsdException w:name="Medium List 2 Accent 3" w:uiPriority="66"/>
    <w:lsdException w:name="List Table 7 Colorful Accent 3" w:uiPriority="52"/>
    <w:lsdException w:name="List Table 5 Dark" w:uiPriority="50"/>
    <w:lsdException w:name="Hashtag" w:uiPriority="99" w:semiHidden="1" w:unhideWhenUsed="1"/>
    <w:lsdException w:name="HTML Cite" w:uiPriority="99"/>
    <w:lsdException w:name="Colorful Shading" w:uiPriority="71"/>
    <w:lsdException w:name="Grid Table 6 Colorful Accent 4" w:uiPriority="51"/>
    <w:lsdException w:name="Table Elegant" w:semiHidden="1" w:unhideWhenUsed="1"/>
    <w:lsdException w:name="Grid Table 6 Colorful Accent 6" w:uiPriority="51"/>
    <w:lsdException w:name="Table Grid 4" w:semiHidden="1" w:unhideWhenUsed="1"/>
    <w:lsdException w:name="Grid Table 5 Dark Accent 5" w:uiPriority="50"/>
    <w:lsdException w:name="List Table 7 Colorful" w:uiPriority="52"/>
    <w:lsdException w:name="Medium Grid 3 Accent 6" w:uiPriority="69"/>
    <w:lsdException w:name="List Table 6 Colorful Accent 2" w:uiPriority="51"/>
    <w:lsdException w:name="Medium List 2 Accent 1" w:uiPriority="66"/>
    <w:lsdException w:name="Grid Table 7 Colorful" w:uiPriority="52"/>
    <w:lsdException w:name="Grid Table 4 Accent 5" w:uiPriority="49"/>
    <w:lsdException w:name="Table Columns 3" w:semiHidden="1" w:unhideWhenUsed="1"/>
    <w:lsdException w:name="List Table 6 Colorful Accent 5" w:uiPriority="51"/>
    <w:lsdException w:name="Grid Table 7 Colorful Accent 5" w:uiPriority="52"/>
    <w:lsdException w:name="Light Grid" w:uiPriority="62"/>
    <w:lsdException w:name="Table List 3" w:semiHidden="1" w:unhideWhenUsed="1"/>
    <w:lsdException w:name="Light List Accent 2" w:uiPriority="61"/>
    <w:lsdException w:name="List Table 3 Accent 1" w:uiPriority="48"/>
    <w:lsdException w:name="Table Grid 3" w:semiHidden="1" w:unhideWhenUsed="1"/>
    <w:lsdException w:name="Title" w:qFormat="1"/>
    <w:lsdException w:name="Medium Grid 2 Accent 2" w:uiPriority="68"/>
    <w:lsdException w:name="heading 5" w:qFormat="1"/>
    <w:lsdException w:name="List Table 4 Accent 2" w:uiPriority="49"/>
    <w:lsdException w:name="Quote" w:uiPriority="99"/>
    <w:lsdException w:name="Grid Table 4 Accent 2" w:uiPriority="49"/>
    <w:lsdException w:name="Medium Shading 1 Accent 6" w:uiPriority="63"/>
    <w:lsdException w:name="heading 8" w:unhideWhenUsed="1" w:qFormat="1"/>
    <w:lsdException w:name="List Table 6 Colorful Accent 6" w:uiPriority="51"/>
    <w:lsdException w:name="Colorful Shading Accent 3" w:uiPriority="71"/>
    <w:lsdException w:name="Table Colorful 2" w:semiHidden="1" w:unhideWhenUsed="1"/>
    <w:lsdException w:name="Emphasis" w:qFormat="1"/>
    <w:lsdException w:name="List Table 7 Colorful Accent 4" w:uiPriority="52"/>
    <w:lsdException w:name="Grid Table 3 Accent 4" w:uiPriority="48"/>
    <w:lsdException w:name="Dark List Accent 2" w:uiPriority="70"/>
    <w:lsdException w:name="List Table 7 Colorful Accent 1" w:uiPriority="52"/>
    <w:lsdException w:name="Normal" w:qFormat="1"/>
    <w:lsdException w:name="Table Web 1" w:semiHidden="1" w:unhideWhenUsed="1"/>
    <w:lsdException w:name="Table Grid 2" w:semiHidden="1" w:unhideWhenUsed="1"/>
    <w:lsdException w:name="Table List 6" w:semiHidden="1" w:unhideWhenUsed="1"/>
    <w:lsdException w:name="List Table 1 Light Accent 4" w:uiPriority="46"/>
    <w:lsdException w:name="Light List Accent 6" w:uiPriority="61"/>
    <w:lsdException w:name="Default Paragraph Font" w:uiPriority="1" w:semiHidden="1" w:unhideWhenUsed="1"/>
    <w:lsdException w:name="Grid Table 7 Colorful Accent 4" w:uiPriority="52"/>
    <w:lsdException w:name="Table 3D effects 3" w:semiHidden="1" w:unhideWhenUsed="1"/>
    <w:lsdException w:name="Medium List 1 Accent 2" w:uiPriority="65"/>
    <w:lsdException w:name="Grid Table 5 Dark Accent 3" w:uiPriority="50"/>
    <w:lsdException w:name="Medium Grid 2" w:uiPriority="68"/>
    <w:lsdException w:name="Medium Shading 1 Accent 5" w:uiPriority="63"/>
    <w:lsdException w:name="Medium Shading 2 Accent 2" w:uiPriority="64"/>
    <w:lsdException w:name="Outline List 1" w:uiPriority="99" w:semiHidden="1" w:unhideWhenUsed="1"/>
    <w:lsdException w:name="Light Shading Accent 2" w:uiPriority="60"/>
    <w:lsdException w:name="Medium Grid 3 Accent 2" w:uiPriority="69"/>
    <w:lsdException w:name="Medium Shading 2" w:uiPriority="64"/>
    <w:lsdException w:name="Medium Grid 2 Accent 3" w:uiPriority="68"/>
    <w:lsdException w:name="Colorful Shading Accent 1" w:uiPriority="71"/>
    <w:lsdException w:name="HTML Typewriter" w:uiPriority="99"/>
    <w:lsdException w:name="toc 6" w:uiPriority="99"/>
    <w:lsdException w:name="Medium Shading 1 Accent 4" w:uiPriority="63"/>
    <w:lsdException w:name="Medium List 2 Accent 4" w:uiPriority="66"/>
    <w:lsdException w:name="List Table 3 Accent 2" w:uiPriority="48"/>
    <w:lsdException w:name="Outline List 2" w:uiPriority="99" w:semiHidden="1" w:unhideWhenUsed="1"/>
    <w:lsdException w:name="Table Columns 5" w:semiHidden="1" w:unhideWhenUsed="1"/>
    <w:lsdException w:name="List Table 3 Accent 6" w:uiPriority="48"/>
    <w:lsdException w:name="Grid Table 7 Colorful Accent 3" w:uiPriority="52"/>
    <w:lsdException w:name="Medium Grid 2 Accent 6" w:uiPriority="68"/>
    <w:lsdException w:name="List Table 7 Colorful Accent 5" w:uiPriority="52"/>
    <w:lsdException w:name="Grid Table 7 Colorful Accent 1" w:uiPriority="52"/>
    <w:lsdException w:name="List Table 4 Accent 6" w:uiPriority="49"/>
    <w:lsdException w:name="Medium Grid 1 Accent 4" w:uiPriority="67"/>
    <w:lsdException w:name="List Table 2 Accent 1" w:uiPriority="47"/>
    <w:lsdException w:name="Plain Table 3" w:uiPriority="43"/>
    <w:lsdException w:name="Table Professional" w:semiHidden="1" w:unhideWhenUsed="1"/>
    <w:lsdException w:name="Colorful Shading Accent 2" w:uiPriority="71"/>
    <w:lsdException w:name="Medium Shading 1 Accent 3" w:uiPriority="63"/>
    <w:lsdException w:name="Colorful List Accent 1" w:uiPriority="72"/>
    <w:lsdException w:name="HTML Preformatted" w:uiPriority="99"/>
    <w:lsdException w:name="Grid Table 1 Light Accent 6" w:uiPriority="46"/>
    <w:lsdException w:name="List Table 1 Light Accent 3" w:uiPriority="46"/>
    <w:lsdException w:name="Medium Grid 1" w:uiPriority="67"/>
    <w:lsdException w:name="toc 2" w:uiPriority="99"/>
    <w:lsdException w:name="Colorful Grid Accent 4" w:uiPriority="73"/>
    <w:lsdException w:name="Plain Table 4" w:uiPriority="44"/>
    <w:lsdException w:name="List Table 7 Colorful Accent 2" w:uiPriority="52"/>
    <w:lsdException w:name="Grid Table 4 Accent 4" w:uiPriority="49"/>
    <w:lsdException w:name="Table Grid" w:qFormat="1"/>
    <w:lsdException w:name="Dark List" w:uiPriority="70"/>
    <w:lsdException w:name="Colorful Grid Accent 6" w:uiPriority="73"/>
    <w:lsdException w:name="Subtle Reference" w:uiPriority="31" w:qFormat="1"/>
    <w:lsdException w:name="heading 1" w:qFormat="1"/>
    <w:lsdException w:name="Outline List 3" w:uiPriority="99" w:semiHidden="1" w:unhideWhenUsed="1"/>
    <w:lsdException w:name="List Table 6 Colorful Accent 1" w:uiPriority="51"/>
    <w:lsdException w:name="Grid Table 6 Colorful Accent 3" w:uiPriority="51"/>
    <w:lsdException w:name="List Table 3 Accent 3" w:uiPriority="48"/>
    <w:lsdException w:name="Medium Grid 3 Accent 1" w:uiPriority="69"/>
    <w:lsdException w:name="Colorful Shading Accent 5" w:uiPriority="71"/>
    <w:lsdException w:name="Mention" w:uiPriority="99" w:semiHidden="1" w:unhideWhenUsed="1"/>
    <w:lsdException w:name="List Table 7 Colorful Accent 6" w:uiPriority="52"/>
    <w:lsdException w:name="List Table 2 Accent 3" w:uiPriority="47"/>
    <w:lsdException w:name="List Table 4 Accent 1" w:uiPriority="49"/>
    <w:lsdException w:name="Grid Table 1 Light" w:uiPriority="46"/>
    <w:lsdException w:name="No List" w:uiPriority="99" w:semiHidden="1" w:unhideWhenUsed="1"/>
    <w:lsdException w:name="toc 1" w:uiPriority="99"/>
    <w:lsdException w:name="List Table 3 Accent 4" w:uiPriority="48"/>
    <w:lsdException w:name="toc 5" w:uiPriority="99"/>
    <w:lsdException w:name="HTML Variable" w:uiPriority="99"/>
    <w:lsdException w:name="Medium Grid 2 Accent 5" w:uiPriority="68"/>
    <w:lsdException w:name="Grid Table 3" w:uiPriority="48"/>
    <w:lsdException w:name="Table Subtle 1" w:semiHidden="1" w:unhideWhenUsed="1"/>
    <w:lsdException w:name="Light Grid Accent 2" w:uiPriority="62"/>
    <w:lsdException w:name="List Table 4 Accent 5" w:uiPriority="49"/>
    <w:lsdException w:name="Light Grid Accent 5" w:uiPriority="62"/>
    <w:lsdException w:name="Dark List Accent 3" w:uiPriority="70"/>
    <w:lsdException w:name="Table Colorful 3" w:semiHidden="1" w:unhideWhenUsed="1"/>
    <w:lsdException w:name="Table 3D effects 1" w:semiHidden="1" w:unhideWhenUsed="1"/>
    <w:lsdException w:name="Medium List 1 Accent 6" w:uiPriority="65"/>
    <w:lsdException w:name="Table List 8" w:semiHidden="1" w:unhideWhenUsed="1"/>
    <w:lsdException w:name="List Table 6 Colorful" w:uiPriority="51"/>
    <w:lsdException w:name="Grid Table 2 Accent 1" w:uiPriority="47"/>
    <w:lsdException w:name="Grid Table 2 Accent 3" w:uiPriority="47"/>
    <w:lsdException w:name="Grid Table 5 Dark Accent 6" w:uiPriority="50"/>
    <w:lsdException w:name="HTML Top of Form" w:uiPriority="99" w:semiHidden="1" w:unhideWhenUsed="1"/>
    <w:lsdException w:name="Grid Table 5 Dark Accent 1" w:uiPriority="50"/>
    <w:lsdException w:name="Colorful Grid Accent 5" w:uiPriority="73"/>
    <w:lsdException w:name="Table Grid 7" w:semiHidden="1" w:unhideWhenUsed="1"/>
    <w:lsdException w:name="caption" w:semiHidden="1" w:unhideWhenUsed="1" w:qFormat="1"/>
    <w:lsdException w:name="TOC Heading" w:uiPriority="39" w:semiHidden="1" w:unhideWhenUsed="1" w:qFormat="1"/>
    <w:lsdException w:name="Grid Table 1 Light Accent 3" w:uiPriority="46"/>
    <w:lsdException w:name="Table Colorful 1" w:semiHidden="1" w:unhideWhenUsed="1"/>
    <w:lsdException w:name="Strong" w:qFormat="1"/>
    <w:lsdException w:name="HTML Sample" w:uiPriority="99"/>
    <w:lsdException w:name="Grid Table 4 Accent 6" w:uiPriority="49"/>
    <w:lsdException w:name="Table Theme" w:semiHidden="1" w:unhideWhenUsed="1"/>
    <w:lsdException w:name="Grid Table 2" w:uiPriority="47"/>
    <w:lsdException w:name="List Table 1 Light Accent 6" w:uiPriority="46"/>
    <w:lsdException w:name="Medium Shading 1 Accent 2" w:uiPriority="63"/>
    <w:lsdException w:name="List Table 2 Accent 4" w:uiPriority="47"/>
    <w:lsdException w:name="Light Grid Accent 1" w:uiPriority="62"/>
    <w:lsdException w:name="Grid Table 5 Dark" w:uiPriority="50"/>
    <w:lsdException w:name="HTML Address" w:uiPriority="99"/>
    <w:lsdException w:name="Colorful Grid Accent 2" w:uiPriority="73"/>
    <w:lsdException w:name="Medium List 2 Accent 5" w:uiPriority="66"/>
    <w:lsdException w:name="Grid Table Light" w:uiPriority="40"/>
    <w:lsdException w:name="Medium List 1" w:uiPriority="65"/>
    <w:lsdException w:name="Table Contemporary" w:semiHidden="1" w:unhideWhenUsed="1"/>
    <w:lsdException w:name="toc 8" w:uiPriority="99"/>
    <w:lsdException w:name="Dark List Accent 6" w:uiPriority="70"/>
    <w:lsdException w:name="Medium Grid 1 Accent 3" w:uiPriority="67"/>
    <w:lsdException w:name="Grid Table 2 Accent 5" w:uiPriority="47"/>
    <w:lsdException w:name="Grid Table 6 Colorful Accent 5" w:uiPriority="51"/>
    <w:lsdException w:name="Table Columns 4" w:semiHidden="1" w:unhideWhenUsed="1"/>
    <w:lsdException w:name="Grid Table 7 Colorful Accent 6" w:uiPriority="52"/>
    <w:lsdException w:name="Medium Grid 3" w:uiPriority="69"/>
    <w:lsdException w:name="List Table 2 Accent 2" w:uiPriority="47"/>
    <w:lsdException w:name="Colorful Shading Accent 4" w:uiPriority="71"/>
    <w:lsdException w:name="Table List 7" w:semiHidden="1" w:unhideWhenUsed="1"/>
    <w:lsdException w:name="heading 4" w:qFormat="1"/>
    <w:lsdException w:name="Table Grid 5" w:semiHidden="1" w:unhideWhenUsed="1"/>
    <w:lsdException w:name="HTML Code" w:uiPriority="99"/>
    <w:lsdException w:name="Colorful List Accent 4" w:uiPriority="72"/>
    <w:lsdException w:name="Colorful Grid" w:uiPriority="73"/>
    <w:lsdException w:name="Light Shading Accent 3" w:uiPriority="60"/>
    <w:lsdException w:name="Colorful Grid Accent 1" w:uiPriority="73"/>
    <w:lsdException w:name="Medium List 2 Accent 6" w:uiPriority="66"/>
    <w:lsdException w:name="List Table 5 Dark Accent 3" w:uiPriority="50"/>
    <w:lsdException w:name="Grid Table 4 Accent 1" w:uiPriority="49"/>
    <w:lsdException w:name="Medium Grid 3 Accent 4" w:uiPriority="69"/>
    <w:lsdException w:name="Subtitle" w:qFormat="1"/>
    <w:lsdException w:name="Grid Table 1 Light Accent 4" w:uiPriority="46"/>
    <w:lsdException w:name="Light Shading Accent 6" w:uiPriority="60"/>
    <w:lsdException w:name="Medium Grid 2 Accent 4" w:uiPriority="68"/>
    <w:lsdException w:name="Table Web 3" w:semiHidden="1" w:unhideWhenUsed="1"/>
    <w:lsdException w:name="Smart Link" w:uiPriority="99" w:semiHidden="1" w:unhideWhenUsed="1"/>
    <w:lsdException w:name="Light List" w:uiPriority="61"/>
    <w:lsdException w:name="Table List 5" w:semiHidden="1" w:unhideWhenUsed="1"/>
    <w:lsdException w:name="Medium List 2" w:uiPriority="66"/>
    <w:lsdException w:name="Subtle Emphasis" w:uiPriority="19" w:qFormat="1"/>
    <w:lsdException w:name="Grid Table 2 Accent 4" w:uiPriority="47"/>
    <w:lsdException w:name="heading 2" w:qFormat="1"/>
    <w:lsdException w:name="Table Grid 8" w:semiHidden="1" w:unhideWhenUsed="1"/>
    <w:lsdException w:name="Light Shading Accent 5" w:uiPriority="60"/>
    <w:lsdException w:name="Bibliography" w:uiPriority="37" w:semiHidden="1" w:unhideWhenUsed="1"/>
    <w:lsdException w:name="Table Grid 6" w:semiHidden="1" w:unhideWhenUsed="1"/>
    <w:lsdException w:name="Medium Grid 2 Accent 1" w:uiPriority="68"/>
    <w:lsdException w:name="List Table 6 Colorful Accent 4" w:uiPriority="51"/>
    <w:lsdException w:name="Medium Shading 2 Accent 1" w:uiPriority="64"/>
    <w:lsdException w:name="Light List Accent 1" w:uiPriority="61"/>
    <w:lsdException w:name="Light Grid Accent 3" w:uiPriority="62"/>
    <w:lsdException w:name="List Table 5 Dark Accent 4" w:uiPriority="50"/>
    <w:lsdException w:name="Grid Table 3 Accent 5" w:uiPriority="48"/>
    <w:lsdException w:name="Grid Table 5 Dark Accent 4" w:uiPriority="50"/>
    <w:lsdException w:name="HTML Keyboard" w:uiPriority="99"/>
    <w:lsdException w:name="Medium Shading 2 Accent 4" w:uiPriority="64"/>
    <w:lsdException w:name="Table List 2" w:semiHidden="1" w:unhideWhenUsed="1"/>
    <w:lsdException w:name="Table Simple 3" w:semiHidden="1" w:unhideWhenUsed="1"/>
    <w:lsdException w:name="Plain Table 2" w:uiPriority="42"/>
    <w:lsdException w:name="HTML Bottom of Form" w:uiPriority="99" w:semiHidden="1" w:unhideWhenUsed="1"/>
    <w:lsdException w:name="Medium List 1 Accent 1" w:uiPriority="65"/>
    <w:lsdException w:name="List Table 2" w:uiPriority="47"/>
    <w:lsdException w:name="Table Classic 3" w:semiHidden="1" w:unhideWhenUsed="1"/>
    <w:lsdException w:name="List Table 1 Light Accent 1" w:uiPriority="46"/>
    <w:lsdException w:name="Medium Grid 1 Accent 5" w:uiPriority="67"/>
    <w:lsdException w:name="Light Grid Accent 6" w:uiPriority="62"/>
    <w:lsdException w:name="Grid Table 1 Light Accent 2" w:uiPriority="46"/>
    <w:lsdException w:name="Colorful List Accent 3" w:uiPriority="72"/>
    <w:lsdException w:name="Grid Table 1 Light Accent 5" w:uiPriority="46"/>
    <w:lsdException w:name="Dark List Accent 1" w:uiPriority="70"/>
    <w:lsdException w:name="Light List Accent 3" w:uiPriority="61"/>
    <w:lsdException w:name="heading 6" w:qFormat="1"/>
    <w:lsdException w:name="Medium List 1 Accent 5" w:uiPriority="65"/>
    <w:lsdException w:name="footnote text" w:uiPriority="99" w:semiHidden="1" w:unhideWhenUsed="1"/>
    <w:lsdException w:name="heading 7" w:unhideWhenUsed="1" w:qFormat="1"/>
    <w:lsdException w:name="Table List 4" w:semiHidden="1" w:unhideWhenUsed="1"/>
    <w:lsdException w:name="Colorful List Accent 6" w:uiPriority="72"/>
    <w:lsdException w:name="Placeholder Text" w:uiPriority="99" w:semiHidden="1"/>
    <w:lsdException w:name="Grid Table 3 Accent 1" w:uiPriority="48"/>
    <w:lsdException w:name="Grid Table 3 Accent 6" w:uiPriority="48"/>
    <w:lsdException w:name="Colorful List Accent 2" w:uiPriority="72"/>
    <w:lsdException w:name="Intense Emphasis" w:uiPriority="21" w:qFormat="1"/>
    <w:lsdException w:name="Colorful List Accent 5" w:uiPriority="72"/>
    <w:lsdException w:name="Grid Table 4" w:uiPriority="49"/>
    <w:lsdException w:name="Grid Table 2 Accent 2" w:uiPriority="47"/>
    <w:lsdException w:name="List Table 3" w:uiPriority="48"/>
    <w:lsdException w:name="Medium Shading 1 Accent 1" w:uiPriority="63"/>
    <w:lsdException w:name="Medium Shading 2 Accent 6" w:uiPriority="64"/>
    <w:lsdException w:name="List Table 5 Dark Accent 2" w:uiPriority="50"/>
    <w:lsdException w:name="Table 3D effects 2" w:semiHidden="1" w:unhideWhenUsed="1"/>
    <w:lsdException w:name="Grid Table 6 Colorful Accent 2" w:uiPriority="51"/>
    <w:lsdException w:name="Medium Grid 1 Accent 2" w:uiPriority="67"/>
    <w:lsdException w:name="Grid Table 3 Accent 2" w:uiPriority="48"/>
    <w:lsdException w:name="Medium Grid 1 Accent 1" w:uiPriority="67"/>
    <w:lsdException w:name="Grid Table 1 Light Accent 1" w:uiPriority="46"/>
    <w:lsdException w:name="Light List Accent 5" w:uiPriority="61"/>
    <w:lsdException w:name="Normal Table" w:uiPriority="99" w:semiHidden="1" w:unhideWhenUsed="1"/>
    <w:lsdException w:name="Table Classic 4" w:semiHidden="1" w:unhideWhenUsed="1"/>
    <w:lsdException w:name="List Paragraph" w:uiPriority="99"/>
    <w:lsdException w:name="Plain Table 5" w:uiPriority="45"/>
    <w:lsdException w:name="Table Grid 1" w:semiHidden="1" w:unhideWhenUsed="1"/>
    <w:lsdException w:name="toc 9" w:uiPriority="99"/>
    <w:lsdException w:name="List Table 4" w:uiPriority="49"/>
    <w:lsdException w:name="Dark List Accent 4" w:uiPriority="70"/>
    <w:lsdException w:name="Table Classic 2" w:semiHidden="1" w:unhideWhenUsed="1"/>
    <w:lsdException w:name="HTML Acronym" w:uiPriority="99"/>
    <w:lsdException w:name="Grid Table 6 Colorful Accent 1" w:uiPriority="51"/>
    <w:lsdException w:name="Table Columns 1" w:semiHidden="1" w:unhideWhenUsed="1"/>
    <w:lsdException w:name="List Table 1 Light" w:uiPriority="46"/>
    <w:lsdException w:name="Light List Accent 4" w:uiPriority="61"/>
    <w:lsdException w:name="Light Grid Accent 4" w:uiPriority="62"/>
    <w:lsdException w:name="Light Shading Accent 4" w:uiPriority="60"/>
    <w:lsdException w:name="Grid Table 2 Accent 6" w:uiPriority="47"/>
    <w:lsdException w:name="List Table 5 Dark Accent 5" w:uiPriority="50"/>
    <w:lsdException w:name="Medium List 1 Accent 4" w:uiPriority="65"/>
    <w:lsdException w:name="Medium Grid 3 Accent 5" w:uiPriority="69"/>
    <w:lsdException w:name="No Spacing" w:uiPriority="99"/>
    <w:lsdException w:name="List Table 1 Light Accent 5" w:uiPriority="46"/>
    <w:lsdException w:name="toc 4" w:uiPriority="99"/>
    <w:lsdException w:name="Medium Shading 2 Accent 3" w:uiPriority="64"/>
    <w:lsdException w:name="HTML Definition" w:uiPriority="99"/>
    <w:lsdException w:name="Medium Grid 1 Accent 6" w:uiPriority="67"/>
    <w:lsdException w:name="Grid Table 6 Colorful" w:uiPriority="51"/>
    <w:lsdException w:name="Table Columns 2" w:semiHidden="1" w:unhideWhenUsed="1"/>
    <w:lsdException w:name="Colorful List" w:uiPriority="72"/>
    <w:lsdException w:name="Table Simple 2" w:semiHidden="1" w:unhideWhenUsed="1"/>
    <w:lsdException w:name="Colorful Shading Accent 6" w:uiPriority="71"/>
    <w:lsdException w:name="Dark List Accent 5" w:uiPriority="70"/>
  </w:latentStyles>
  <w:style w:type="paragraph" w:styleId="00000f">
    <w:name w:val="footer"/>
    <w:basedOn w:val="000001"/>
    <w:pPr>
      <w:numPr/>
      <w:tabs>
        <w:tab w:val="center" w:pos="4153"/>
        <w:tab w:val="right" w:pos="8306"/>
      </w:tabs>
      <w:snapToGrid w:val="0"/>
      <w:jc w:val="center"/>
    </w:pPr>
    <w:rPr>
      <w:sz w:val="18"/>
      <w:szCs w:val="18"/>
    </w:rPr>
  </w:style>
  <w:style w:type="paragraph" w:styleId="jigyuc">
    <w:name w:val="toc 2"/>
    <w:basedOn w:val="000001"/>
    <w:next w:val="000001"/>
    <w:autoRedefine w:val="1"/>
    <w:uiPriority w:val="39"/>
    <w:unhideWhenUsed w:val="1"/>
    <w:pPr>
      <w:numPr/>
      <w:tabs/>
      <w:ind w:left="210"/>
      <w:jc w:val="left"/>
    </w:pPr>
    <w:rPr>
      <w:rFonts w:eastAsiaTheme="minorHAnsi"/>
      <w:smallCaps w:val="1"/>
      <w:sz w:val="22"/>
      <w:szCs w:val="22"/>
    </w:rPr>
  </w:style>
  <w:style w:type="paragraph" w:styleId="l2lulq" w:customStyle="1">
    <w:name w:val="四级标题-挑战杯"/>
    <w:basedOn w:val="000001"/>
    <w:qFormat w:val="1"/>
    <w:pPr>
      <w:numPr/>
      <w:jc w:val="left"/>
    </w:pPr>
    <w:rPr>
      <w:rFonts w:eastAsia="黑体"/>
      <w:sz w:val="24"/>
    </w:rPr>
  </w:style>
  <w:style w:type="paragraph" w:styleId="000001" w:default="1">
    <w:name w:val="Normal"/>
    <w:qFormat w:val="1"/>
    <w:pPr>
      <w:widowControl w:val="0"/>
      <w:numPr/>
      <w:spacing w:before="60" w:after="60"/>
      <w:jc w:val="both"/>
    </w:pPr>
    <w:rPr>
      <w:color w:val="333333"/>
      <w:kern w:val="2"/>
      <w:sz w:val="22"/>
      <w:szCs w:val="24"/>
    </w:rPr>
  </w:style>
  <w:style w:type="character" w:styleId="000014" w:customStyle="1">
    <w:name w:val="标题 字符"/>
    <w:basedOn w:val="00000b"/>
    <w:link w:val="000013"/>
    <w:pPr>
      <w:numPr/>
    </w:pPr>
    <w:rPr>
      <w:rFonts w:ascii="Arial" w:hAnsi="Arial" w:eastAsia="微软雅黑" w:cstheme="majorBidi"/>
      <w:b w:val="1"/>
      <w:bCs w:val="1"/>
      <w:kern w:val="2"/>
      <w:sz w:val="48"/>
      <w:szCs w:val="32"/>
    </w:rPr>
  </w:style>
  <w:style w:type="paragraph" w:styleId="zsj3ss">
    <w:name w:val="endnote text"/>
    <w:basedOn w:val="000001"/>
    <w:next w:val=""/>
    <w:uiPriority w:val="9"/>
    <w:pPr>
      <w:numPr/>
    </w:pPr>
    <w:rPr>
      <w:sz w:val="21"/>
      <w:szCs w:val="21"/>
    </w:rPr>
  </w:style>
  <w:style w:type="paragraph" w:styleId="00000a">
    <w:name w:val="heading 9"/>
    <w:basedOn w:val="000001"/>
    <w:next w:val="000001"/>
    <w:unhideWhenUsed w:val="1"/>
    <w:qFormat w:val="1"/>
    <w:pPr>
      <w:keepNext w:val="1"/>
      <w:keepLines w:val="1"/>
      <w:numPr/>
      <w:spacing w:line="480" w:lineRule="auto"/>
      <w:outlineLvl w:val="8"/>
    </w:pPr>
    <w:rPr>
      <w:b w:val="1"/>
    </w:rPr>
  </w:style>
  <w:style w:type="character" w:styleId="56hloj">
    <w:name w:val="melo-codeblock-Normal-punctuation"/>
    <w:basedOn w:val="000017"/>
    <w:next w:val=""/>
    <w:pPr>
      <w:numPr/>
    </w:pPr>
    <w:rPr>
      <w:color w:val="999999"/>
    </w:rPr>
  </w:style>
  <w:style w:type="paragraph" w:styleId="l87x4y">
    <w:name w:val="toc 2"/>
    <w:basedOn w:val="000001"/>
    <w:next w:val="000001"/>
    <w:autoRedefine w:val="1"/>
    <w:uiPriority w:val="39"/>
    <w:unhideWhenUsed w:val="1"/>
    <w:pPr>
      <w:numPr/>
      <w:tabs/>
      <w:ind w:left="210"/>
      <w:jc w:val="left"/>
    </w:pPr>
    <w:rPr>
      <w:rFonts w:eastAsiaTheme="minorHAnsi"/>
      <w:smallCaps w:val="1"/>
      <w:sz w:val="22"/>
      <w:szCs w:val="22"/>
    </w:rPr>
  </w:style>
  <w:style w:type="character" w:styleId="hdd8bp">
    <w:name w:val="melo-codeblock-Normal-number"/>
    <w:basedOn w:val="000017"/>
    <w:next w:val=""/>
    <w:pPr>
      <w:numPr/>
    </w:pPr>
    <w:rPr>
      <w:color w:val="990055"/>
    </w:rPr>
  </w:style>
  <w:style w:type="character" w:styleId="2cdc9t">
    <w:name w:val="melo-codeblock-Normal-string"/>
    <w:basedOn w:val="000017"/>
    <w:next w:val=""/>
    <w:pPr>
      <w:numPr/>
    </w:pPr>
    <w:rPr>
      <w:color w:val="669900"/>
    </w:rPr>
  </w:style>
  <w:style w:type="paragraph" w:styleId="s6br6o">
    <w:name w:val="toc 3"/>
    <w:basedOn w:val="000001"/>
    <w:next w:val="000001"/>
    <w:autoRedefine w:val="1"/>
    <w:uiPriority w:val="39"/>
    <w:unhideWhenUsed w:val="1"/>
    <w:pPr>
      <w:numPr/>
      <w:tabs/>
      <w:ind w:left="420"/>
      <w:jc w:val="left"/>
    </w:pPr>
    <w:rPr>
      <w:rFonts w:eastAsiaTheme="minorHAnsi"/>
      <w:iCs w:val="1"/>
      <w:sz w:val="22"/>
      <w:szCs w:val="22"/>
    </w:rPr>
  </w:style>
  <w:style w:type="paragraph" w:styleId="hk8s4i">
    <w:name w:val="toc 2"/>
    <w:basedOn w:val="000001"/>
    <w:next w:val="000001"/>
    <w:autoRedefine w:val="1"/>
    <w:uiPriority w:val="39"/>
    <w:unhideWhenUsed w:val="1"/>
    <w:pPr>
      <w:numPr/>
      <w:tabs/>
      <w:ind w:left="210"/>
      <w:jc w:val="left"/>
    </w:pPr>
    <w:rPr>
      <w:rFonts w:eastAsiaTheme="minorHAnsi"/>
      <w:smallCaps w:val="1"/>
      <w:sz w:val="22"/>
      <w:szCs w:val="22"/>
    </w:rPr>
  </w:style>
  <w:style w:type="paragraph" w:styleId="000011">
    <w:name w:val="Subtitle"/>
    <w:basedOn w:val="000001"/>
    <w:next w:val="000001"/>
    <w:link w:val="000012"/>
    <w:qFormat w:val="1"/>
    <w:pPr>
      <w:numPr/>
      <w:jc w:val="center"/>
      <w:outlineLvl w:val="1"/>
    </w:pPr>
    <w:rPr>
      <w:rFonts w:cstheme="minorBidi"/>
      <w:b w:val="1"/>
      <w:bCs w:val="1"/>
      <w:kern w:val="28"/>
      <w:sz w:val="44"/>
      <w:szCs w:val="32"/>
    </w:rPr>
  </w:style>
  <w:style w:type="character" w:styleId="adap7l">
    <w:name w:val="melo-codeblock-Normal-property"/>
    <w:basedOn w:val="000017"/>
    <w:next w:val=""/>
    <w:pPr>
      <w:numPr/>
    </w:pPr>
    <w:rPr>
      <w:color w:val="990055"/>
    </w:rPr>
  </w:style>
  <w:style w:type="paragraph" w:styleId="000018" w:customStyle="1">
    <w:name w:val="melo-codeblock-Base-theme-para"/>
    <w:uiPriority w:val="99"/>
    <w:pPr>
      <w:numPr/>
      <w:snapToGrid w:val="0"/>
      <w:spacing w:line="360" w:lineRule="auto"/>
    </w:pPr>
    <w:rPr>
      <w:rFonts w:ascii="Monaco" w:hAnsi="Monaco" w:eastAsia="Monaco" w:cs="Monaco"/>
      <w:color w:val="000000"/>
      <w:sz w:val="21"/>
    </w:rPr>
  </w:style>
  <w:style w:type="paragraph" w:styleId="ozm0ah" w:customStyle="1">
    <w:name w:val="章标题-挑战杯"/>
    <w:basedOn w:val="000002"/>
    <w:next w:val="eti4qs"/>
    <w:qFormat w:val="1"/>
    <w:pPr>
      <w:numPr/>
      <w:jc w:val="left"/>
    </w:pPr>
    <w:rPr>
      <w:rFonts w:eastAsia="黑体"/>
      <w:sz w:val="32"/>
    </w:rPr>
  </w:style>
  <w:style w:type="paragraph" w:styleId="zrm735">
    <w:name w:val="toc 2"/>
    <w:basedOn w:val="000001"/>
    <w:next w:val="000001"/>
    <w:autoRedefine w:val="1"/>
    <w:uiPriority w:val="39"/>
    <w:unhideWhenUsed w:val="1"/>
    <w:pPr>
      <w:numPr/>
      <w:tabs/>
      <w:ind w:left="210"/>
      <w:jc w:val="left"/>
    </w:pPr>
    <w:rPr>
      <w:rFonts w:eastAsiaTheme="minorHAnsi"/>
      <w:smallCaps w:val="1"/>
      <w:sz w:val="22"/>
      <w:szCs w:val="22"/>
    </w:rPr>
  </w:style>
  <w:style w:type="paragraph" w:styleId="eti4qs" w:customStyle="1">
    <w:name w:val="正文(CN)-挑战杯"/>
    <w:basedOn w:val="000001"/>
    <w:next w:val="000001"/>
    <w:qFormat w:val="1"/>
    <w:pPr>
      <w:numPr/>
      <w:tabs/>
      <w:jc w:val="left"/>
    </w:pPr>
    <w:rPr>
      <w:rFonts w:eastAsia="宋体"/>
      <w:sz w:val="24"/>
    </w:rPr>
  </w:style>
  <w:style w:type="paragraph" w:styleId="3mrkcm" w:customStyle="1">
    <w:name w:val="图表标题-挑战杯"/>
    <w:basedOn w:val="000001"/>
    <w:qFormat w:val="1"/>
    <w:pPr>
      <w:numPr/>
      <w:jc w:val="center"/>
    </w:pPr>
    <w:rPr>
      <w:rFonts w:eastAsia="宋体"/>
      <w:sz w:val="21"/>
    </w:rPr>
  </w:style>
  <w:style w:type="paragraph" w:styleId="00000e">
    <w:name w:val="toc 8"/>
    <w:basedOn w:val="000001"/>
    <w:next w:val="000001"/>
    <w:autoRedefine w:val="1"/>
    <w:uiPriority w:val="99"/>
    <w:pPr>
      <w:numPr/>
      <w:ind w:left="2940" w:leftChars="1400"/>
    </w:pPr>
  </w:style>
  <w:style w:type="paragraph" w:styleId="000006">
    <w:name w:val="heading 5"/>
    <w:basedOn w:val="000001"/>
    <w:next w:val="000001"/>
    <w:qFormat w:val="1"/>
    <w:pPr>
      <w:keepNext w:val="1"/>
      <w:keepLines w:val="1"/>
      <w:numPr/>
      <w:spacing w:line="480" w:lineRule="auto"/>
      <w:outlineLvl w:val="4"/>
    </w:pPr>
    <w:rPr>
      <w:b w:val="1"/>
    </w:rPr>
  </w:style>
  <w:style w:type="character" w:styleId="vpnqnw">
    <w:name w:val="melo-codeblock-Normal-boolean"/>
    <w:basedOn w:val="000017"/>
    <w:next w:val=""/>
    <w:pPr>
      <w:numPr/>
    </w:pPr>
    <w:rPr>
      <w:color w:val="990055"/>
    </w:rPr>
  </w:style>
  <w:style w:type="paragraph" w:styleId="xu2kee">
    <w:name w:val="toc 3"/>
    <w:basedOn w:val="000001"/>
    <w:next w:val="000001"/>
    <w:autoRedefine w:val="1"/>
    <w:uiPriority w:val="39"/>
    <w:unhideWhenUsed w:val="1"/>
    <w:pPr>
      <w:numPr/>
      <w:tabs/>
      <w:ind w:left="420"/>
      <w:jc w:val="left"/>
    </w:pPr>
    <w:rPr>
      <w:rFonts w:eastAsia="宋体" w:eastAsiaTheme="minorHAnsi"/>
      <w:iCs w:val="1"/>
      <w:sz w:val="21"/>
      <w:szCs w:val="22"/>
    </w:rPr>
  </w:style>
  <w:style w:type="paragraph" w:styleId="8wu08g" w:customStyle="1">
    <w:name w:val="二级标题-挑战杯"/>
    <w:basedOn w:val="000003"/>
    <w:next w:val="000001"/>
    <w:qFormat w:val="1"/>
    <w:pPr>
      <w:numPr/>
      <w:jc w:val="left"/>
    </w:pPr>
    <w:rPr>
      <w:rFonts w:eastAsia="黑体"/>
      <w:sz w:val="28"/>
    </w:rPr>
  </w:style>
  <w:style w:type="paragraph" w:styleId="89bzxs">
    <w:name w:val="toc 3"/>
    <w:basedOn w:val="000001"/>
    <w:next w:val="000001"/>
    <w:autoRedefine w:val="1"/>
    <w:uiPriority w:val="39"/>
    <w:unhideWhenUsed w:val="1"/>
    <w:pPr>
      <w:numPr/>
      <w:tabs/>
      <w:ind w:left="420"/>
      <w:jc w:val="left"/>
    </w:pPr>
    <w:rPr>
      <w:rFonts w:eastAsiaTheme="minorHAnsi"/>
      <w:iCs w:val="1"/>
      <w:sz w:val="22"/>
      <w:szCs w:val="22"/>
    </w:rPr>
  </w:style>
  <w:style w:type="paragraph" w:styleId="000004">
    <w:name w:val="heading 3"/>
    <w:basedOn w:val="000001"/>
    <w:next w:val="000001"/>
    <w:qFormat w:val="1"/>
    <w:pPr>
      <w:keepNext w:val="1"/>
      <w:keepLines w:val="1"/>
      <w:numPr/>
      <w:jc w:val="left"/>
      <w:outlineLvl w:val="2"/>
    </w:pPr>
    <w:rPr>
      <w:rFonts w:eastAsia="黑体"/>
      <w:b w:val="1"/>
      <w:sz w:val="24"/>
    </w:rPr>
  </w:style>
  <w:style w:type="paragraph" w:styleId="jaup5v">
    <w:name w:val="toc 2"/>
    <w:basedOn w:val="000001"/>
    <w:next w:val="000001"/>
    <w:autoRedefine w:val="1"/>
    <w:uiPriority w:val="39"/>
    <w:unhideWhenUsed w:val="1"/>
    <w:pPr>
      <w:numPr/>
      <w:tabs/>
      <w:ind w:left="210"/>
      <w:jc w:val="left"/>
    </w:pPr>
    <w:rPr>
      <w:rFonts w:eastAsia="宋体" w:eastAsiaTheme="minorHAnsi"/>
      <w:smallCaps w:val="1"/>
      <w:sz w:val="24"/>
      <w:szCs w:val="22"/>
    </w:rPr>
  </w:style>
  <w:style w:type="character" w:styleId="ebr9cj">
    <w:name w:val="melo-codeblock-Normal-theme-char"/>
    <w:basedOn w:val="000017"/>
    <w:next w:val=""/>
    <w:pPr>
      <w:numPr/>
    </w:pPr>
    <w:rPr>
      <w:color w:val="000000"/>
    </w:rPr>
  </w:style>
  <w:style w:type="paragraph" w:styleId="bxy6zm">
    <w:name w:val="toc 1"/>
    <w:basedOn w:val="000001"/>
    <w:next w:val="000001"/>
    <w:autoRedefine w:val="1"/>
    <w:uiPriority w:val="39"/>
    <w:unhideWhenUsed w:val="1"/>
    <w:pPr>
      <w:numPr/>
      <w:tabs/>
      <w:spacing w:before="120" w:after="120"/>
      <w:jc w:val="left"/>
    </w:pPr>
    <w:rPr>
      <w:rFonts w:eastAsiaTheme="minorHAnsi"/>
      <w:b w:val="1"/>
      <w:bCs w:val="1"/>
      <w:caps w:val="1"/>
      <w:sz w:val="22"/>
      <w:szCs w:val="22"/>
    </w:rPr>
  </w:style>
  <w:style w:type="paragraph" w:styleId="39n9yp">
    <w:name w:val="toc 2"/>
    <w:basedOn w:val="000001"/>
    <w:next w:val="000001"/>
    <w:autoRedefine w:val="1"/>
    <w:uiPriority w:val="39"/>
    <w:unhideWhenUsed w:val="1"/>
    <w:pPr>
      <w:numPr/>
      <w:tabs/>
      <w:ind w:left="210"/>
      <w:jc w:val="left"/>
    </w:pPr>
    <w:rPr>
      <w:rFonts w:eastAsiaTheme="minorHAnsi"/>
      <w:smallCaps w:val="1"/>
      <w:sz w:val="22"/>
      <w:szCs w:val="22"/>
    </w:rPr>
  </w:style>
  <w:style w:type="character" w:styleId="000016">
    <w:name w:val="Hyperlink"/>
    <w:basedOn w:val="00000b"/>
    <w:pPr>
      <w:numPr/>
    </w:pPr>
    <w:rPr>
      <w:color w:val="1E6FFF"/>
      <w:u w:val="single"/>
    </w:rPr>
  </w:style>
  <w:style w:type="paragraph" w:styleId="av56ee">
    <w:name w:val="toc 2"/>
    <w:basedOn w:val="000001"/>
    <w:next w:val="000001"/>
    <w:autoRedefine w:val="1"/>
    <w:uiPriority w:val="39"/>
    <w:unhideWhenUsed w:val="1"/>
    <w:pPr>
      <w:numPr/>
      <w:tabs/>
      <w:ind w:left="210"/>
      <w:jc w:val="left"/>
    </w:pPr>
    <w:rPr>
      <w:rFonts w:eastAsiaTheme="minorHAnsi"/>
      <w:smallCaps w:val="1"/>
      <w:sz w:val="22"/>
      <w:szCs w:val="22"/>
    </w:rPr>
  </w:style>
  <w:style w:type="paragraph" w:styleId="rcfjzu">
    <w:name w:val="toc 2"/>
    <w:basedOn w:val="000001"/>
    <w:next w:val="000001"/>
    <w:autoRedefine w:val="1"/>
    <w:uiPriority w:val="39"/>
    <w:unhideWhenUsed w:val="1"/>
    <w:pPr>
      <w:numPr/>
      <w:tabs/>
      <w:ind w:left="210"/>
      <w:jc w:val="left"/>
    </w:pPr>
    <w:rPr>
      <w:rFonts w:eastAsiaTheme="minorHAnsi"/>
      <w:smallCaps w:val="1"/>
      <w:sz w:val="22"/>
      <w:szCs w:val="22"/>
    </w:rPr>
  </w:style>
  <w:style w:type="paragraph" w:styleId="000007">
    <w:name w:val="heading 6"/>
    <w:basedOn w:val="000001"/>
    <w:next w:val="000001"/>
    <w:qFormat w:val="1"/>
    <w:pPr>
      <w:keepNext w:val="1"/>
      <w:keepLines w:val="1"/>
      <w:numPr/>
      <w:spacing w:line="480" w:lineRule="auto"/>
      <w:outlineLvl w:val="5"/>
    </w:pPr>
    <w:rPr>
      <w:b w:val="1"/>
    </w:rPr>
  </w:style>
  <w:style w:type="paragraph" w:styleId="3xxgsb">
    <w:name w:val="caption"/>
    <w:basedOn w:val="000001"/>
    <w:next w:val="000001"/>
    <w:uiPriority w:val="9"/>
    <w:pPr>
      <w:numPr/>
    </w:pPr>
    <w:rPr>
      <w:sz w:val="20"/>
      <w:szCs w:val="20"/>
    </w:rPr>
  </w:style>
  <w:style w:type="paragraph" w:styleId="5r9th8">
    <w:name w:val="toc 1"/>
    <w:basedOn w:val="000001"/>
    <w:next w:val="000001"/>
    <w:autoRedefine w:val="1"/>
    <w:uiPriority w:val="39"/>
    <w:unhideWhenUsed w:val="1"/>
    <w:pPr>
      <w:numPr/>
      <w:tabs/>
      <w:spacing w:before="120" w:after="120"/>
      <w:jc w:val="left"/>
    </w:pPr>
    <w:rPr>
      <w:rFonts w:eastAsiaTheme="minorHAnsi"/>
      <w:b w:val="1"/>
      <w:bCs w:val="1"/>
      <w:caps w:val="1"/>
      <w:sz w:val="22"/>
      <w:szCs w:val="22"/>
    </w:rPr>
  </w:style>
  <w:style w:type="paragraph" w:styleId="gfc5d2">
    <w:name w:val="toc 3"/>
    <w:basedOn w:val="000001"/>
    <w:next w:val="000001"/>
    <w:autoRedefine w:val="1"/>
    <w:uiPriority w:val="39"/>
    <w:unhideWhenUsed w:val="1"/>
    <w:pPr>
      <w:numPr/>
      <w:tabs/>
      <w:ind w:left="420"/>
      <w:jc w:val="left"/>
    </w:pPr>
    <w:rPr>
      <w:rFonts w:eastAsiaTheme="minorHAnsi"/>
      <w:iCs w:val="1"/>
      <w:sz w:val="22"/>
      <w:szCs w:val="22"/>
    </w:rPr>
  </w:style>
  <w:style w:type="paragraph" w:styleId="fwionp">
    <w:name w:val="toc 2"/>
    <w:basedOn w:val="000001"/>
    <w:next w:val="000001"/>
    <w:autoRedefine w:val="1"/>
    <w:uiPriority w:val="39"/>
    <w:unhideWhenUsed w:val="1"/>
    <w:pPr>
      <w:numPr/>
      <w:tabs/>
      <w:ind w:left="210"/>
      <w:jc w:val="left"/>
    </w:pPr>
    <w:rPr>
      <w:rFonts w:eastAsiaTheme="minorHAnsi"/>
      <w:smallCaps w:val="1"/>
      <w:sz w:val="22"/>
      <w:szCs w:val="22"/>
    </w:rPr>
  </w:style>
  <w:style w:type="paragraph" w:styleId="25lw9t">
    <w:name w:val="toc 2"/>
    <w:basedOn w:val="000001"/>
    <w:next w:val="000001"/>
    <w:autoRedefine w:val="1"/>
    <w:uiPriority w:val="39"/>
    <w:unhideWhenUsed w:val="1"/>
    <w:pPr>
      <w:numPr/>
      <w:tabs/>
      <w:ind w:left="210"/>
      <w:jc w:val="left"/>
    </w:pPr>
    <w:rPr>
      <w:rFonts w:eastAsiaTheme="minorHAnsi"/>
      <w:smallCaps w:val="1"/>
      <w:sz w:val="22"/>
      <w:szCs w:val="22"/>
    </w:rPr>
  </w:style>
  <w:style w:type="table" w:styleId="00000c" w:default="1">
    <w:name w:val="Normal Table"/>
    <w:uiPriority w:val="99"/>
    <w:semiHidden w:val="1"/>
    <w:unhideWhenUsed w:val="1"/>
    <w:pPr>
      <w:numPr/>
    </w:pPr>
    <w:tblPr>
      <w:tblInd w:w="0" w:type="dxa"/>
      <w:tblCellMar>
        <w:top w:w="0" w:type="dxa"/>
        <w:left w:w="108" w:type="dxa"/>
        <w:bottom w:w="0" w:type="dxa"/>
        <w:right w:w="108" w:type="dxa"/>
      </w:tblCellMar>
    </w:tblPr>
  </w:style>
  <w:style w:type="paragraph" w:styleId="4uumhs">
    <w:name w:val="toc 3"/>
    <w:basedOn w:val="000001"/>
    <w:next w:val="000001"/>
    <w:autoRedefine w:val="1"/>
    <w:uiPriority w:val="39"/>
    <w:unhideWhenUsed w:val="1"/>
    <w:pPr>
      <w:numPr/>
      <w:tabs/>
      <w:ind w:left="420"/>
      <w:jc w:val="left"/>
    </w:pPr>
    <w:rPr>
      <w:rFonts w:eastAsiaTheme="minorHAnsi"/>
      <w:iCs w:val="1"/>
      <w:sz w:val="22"/>
      <w:szCs w:val="22"/>
    </w:rPr>
  </w:style>
  <w:style w:type="paragraph" w:styleId="zg3yfq">
    <w:name w:val="toc 1"/>
    <w:basedOn w:val="000001"/>
    <w:next w:val="000001"/>
    <w:autoRedefine w:val="1"/>
    <w:uiPriority w:val="39"/>
    <w:unhideWhenUsed w:val="1"/>
    <w:pPr>
      <w:numPr/>
      <w:tabs/>
      <w:spacing w:before="120" w:after="120"/>
      <w:jc w:val="left"/>
    </w:pPr>
    <w:rPr>
      <w:rFonts w:eastAsiaTheme="minorHAnsi"/>
      <w:b w:val="1"/>
      <w:bCs w:val="1"/>
      <w:caps w:val="1"/>
      <w:sz w:val="22"/>
      <w:szCs w:val="22"/>
    </w:rPr>
  </w:style>
  <w:style w:type="paragraph" w:styleId="000005">
    <w:name w:val="heading 4"/>
    <w:basedOn w:val="000001"/>
    <w:next w:val="000001"/>
    <w:qFormat w:val="1"/>
    <w:pPr>
      <w:keepNext w:val="1"/>
      <w:keepLines w:val="1"/>
      <w:numPr/>
      <w:outlineLvl w:val="3"/>
    </w:pPr>
    <w:rPr>
      <w:b w:val="1"/>
      <w:sz w:val="24"/>
    </w:rPr>
  </w:style>
  <w:style w:type="paragraph" w:styleId="000008">
    <w:name w:val="heading 7"/>
    <w:basedOn w:val="000001"/>
    <w:next w:val="000001"/>
    <w:unhideWhenUsed w:val="1"/>
    <w:qFormat w:val="1"/>
    <w:pPr>
      <w:keepNext w:val="1"/>
      <w:keepLines w:val="1"/>
      <w:numPr/>
      <w:spacing w:line="480" w:lineRule="auto"/>
      <w:outlineLvl w:val="6"/>
    </w:pPr>
    <w:rPr>
      <w:b w:val="1"/>
    </w:rPr>
  </w:style>
  <w:style w:type="character" w:styleId="00000b" w:default="1">
    <w:name w:val="Default Paragraph Font"/>
    <w:uiPriority w:val="1"/>
    <w:semiHidden w:val="1"/>
    <w:unhideWhenUsed w:val="1"/>
    <w:pPr>
      <w:numPr/>
    </w:pPr>
  </w:style>
  <w:style w:type="paragraph" w:styleId="000002">
    <w:name w:val="heading 1"/>
    <w:basedOn w:val="000001"/>
    <w:next w:val="000001"/>
    <w:qFormat w:val="1"/>
    <w:pPr>
      <w:keepNext w:val="1"/>
      <w:keepLines w:val="1"/>
      <w:numPr/>
      <w:tabs/>
      <w:jc w:val="left"/>
      <w:outlineLvl w:val="0"/>
    </w:pPr>
    <w:rPr>
      <w:rFonts w:eastAsia="黑体"/>
      <w:b w:val="1"/>
      <w:kern w:val="44"/>
      <w:sz w:val="32"/>
    </w:rPr>
  </w:style>
  <w:style w:type="paragraph" w:styleId="ztfifz" w:customStyle="1">
    <w:name w:val="章标题"/>
    <w:basedOn w:val="000002"/>
    <w:next w:val="000001"/>
    <w:qFormat w:val="1"/>
    <w:pPr>
      <w:numPr/>
    </w:pPr>
    <w:rPr>
      <w:rFonts w:eastAsia="黑体"/>
      <w:sz w:val="32"/>
    </w:rPr>
  </w:style>
  <w:style w:type="paragraph" w:styleId="zh4698">
    <w:name w:val="toc 3"/>
    <w:basedOn w:val="000001"/>
    <w:next w:val="000001"/>
    <w:autoRedefine w:val="1"/>
    <w:uiPriority w:val="39"/>
    <w:unhideWhenUsed w:val="1"/>
    <w:pPr>
      <w:numPr/>
      <w:tabs/>
      <w:ind w:left="420"/>
      <w:jc w:val="left"/>
    </w:pPr>
    <w:rPr>
      <w:rFonts w:eastAsiaTheme="minorHAnsi"/>
      <w:iCs w:val="1"/>
      <w:sz w:val="22"/>
      <w:szCs w:val="22"/>
    </w:rPr>
  </w:style>
  <w:style>
    <w:pPr>
      <w:numPr/>
    </w:pPr>
  </w:style>
  <w:style w:type="paragraph" w:styleId="lvb92n">
    <w:name w:val="toc 3"/>
    <w:basedOn w:val="000001"/>
    <w:next w:val="000001"/>
    <w:autoRedefine w:val="1"/>
    <w:uiPriority w:val="39"/>
    <w:unhideWhenUsed w:val="1"/>
    <w:pPr>
      <w:numPr/>
      <w:tabs/>
      <w:ind w:left="420"/>
      <w:jc w:val="left"/>
    </w:pPr>
    <w:rPr>
      <w:rFonts w:eastAsiaTheme="minorHAnsi"/>
      <w:iCs w:val="1"/>
      <w:sz w:val="22"/>
      <w:szCs w:val="22"/>
    </w:rPr>
  </w:style>
  <w:style w:type="paragraph" w:styleId="1babm3">
    <w:name w:val="toc 1"/>
    <w:basedOn w:val="000001"/>
    <w:next w:val="000001"/>
    <w:autoRedefine w:val="1"/>
    <w:uiPriority w:val="39"/>
    <w:unhideWhenUsed w:val="1"/>
    <w:pPr>
      <w:numPr/>
      <w:tabs/>
      <w:spacing w:before="120" w:after="120"/>
      <w:jc w:val="left"/>
    </w:pPr>
    <w:rPr>
      <w:rFonts w:eastAsiaTheme="minorHAnsi"/>
      <w:b w:val="1"/>
      <w:bCs w:val="1"/>
      <w:caps w:val="1"/>
      <w:sz w:val="22"/>
      <w:szCs w:val="22"/>
    </w:rPr>
  </w:style>
  <w:style w:type="paragraph" w:styleId="yf0g5i">
    <w:name w:val="toc 2"/>
    <w:basedOn w:val="000001"/>
    <w:next w:val="000001"/>
    <w:autoRedefine w:val="1"/>
    <w:uiPriority w:val="39"/>
    <w:unhideWhenUsed w:val="1"/>
    <w:pPr>
      <w:numPr/>
      <w:tabs/>
      <w:ind w:left="210"/>
      <w:jc w:val="left"/>
    </w:pPr>
    <w:rPr>
      <w:rFonts w:eastAsiaTheme="minorHAnsi"/>
      <w:smallCaps w:val="1"/>
      <w:sz w:val="22"/>
      <w:szCs w:val="22"/>
    </w:rPr>
  </w:style>
  <w:style w:type="paragraph" w:styleId="000003">
    <w:name w:val="heading 2"/>
    <w:basedOn w:val="000001"/>
    <w:next w:val="000001"/>
    <w:qFormat w:val="1"/>
    <w:pPr>
      <w:keepNext w:val="1"/>
      <w:keepLines w:val="1"/>
      <w:numPr/>
      <w:jc w:val="left"/>
      <w:outlineLvl w:val="1"/>
    </w:pPr>
    <w:rPr>
      <w:rFonts w:eastAsia="黑体"/>
      <w:b w:val="1"/>
      <w:sz w:val="28"/>
    </w:rPr>
  </w:style>
  <w:style w:type="paragraph" w:styleId="56q2oh">
    <w:name w:val="toc 3"/>
    <w:basedOn w:val="000001"/>
    <w:next w:val="000001"/>
    <w:autoRedefine w:val="1"/>
    <w:uiPriority w:val="39"/>
    <w:unhideWhenUsed w:val="1"/>
    <w:pPr>
      <w:numPr/>
      <w:tabs/>
      <w:ind w:left="420"/>
      <w:jc w:val="left"/>
    </w:pPr>
    <w:rPr>
      <w:rFonts w:eastAsiaTheme="minorHAnsi"/>
      <w:iCs w:val="1"/>
      <w:sz w:val="21"/>
      <w:szCs w:val="22"/>
    </w:rPr>
  </w:style>
  <w:style w:type="paragraph" w:styleId="v2enlr">
    <w:name w:val="toc 1"/>
    <w:basedOn w:val="000001"/>
    <w:next w:val="000001"/>
    <w:autoRedefine w:val="1"/>
    <w:uiPriority w:val="39"/>
    <w:unhideWhenUsed w:val="1"/>
    <w:pPr>
      <w:numPr/>
      <w:tabs/>
      <w:spacing w:before="120" w:after="120"/>
      <w:jc w:val="left"/>
    </w:pPr>
    <w:rPr>
      <w:rFonts w:eastAsiaTheme="minorHAnsi"/>
      <w:b w:val="1"/>
      <w:bCs w:val="1"/>
      <w:caps w:val="1"/>
      <w:sz w:val="22"/>
      <w:szCs w:val="22"/>
    </w:rPr>
  </w:style>
  <w:style w:type="paragraph" w:styleId="trkxkc">
    <w:name w:val="toc 2"/>
    <w:basedOn w:val="000001"/>
    <w:next w:val="000001"/>
    <w:autoRedefine w:val="1"/>
    <w:uiPriority w:val="39"/>
    <w:unhideWhenUsed w:val="1"/>
    <w:pPr>
      <w:numPr/>
      <w:tabs/>
      <w:ind w:left="210"/>
      <w:jc w:val="left"/>
    </w:pPr>
    <w:rPr>
      <w:rFonts w:eastAsiaTheme="minorHAnsi"/>
      <w:smallCaps w:val="1"/>
      <w:sz w:val="22"/>
      <w:szCs w:val="22"/>
    </w:rPr>
  </w:style>
  <w:style w:type="paragraph" w:styleId="000013">
    <w:name w:val="Title"/>
    <w:basedOn w:val="000001"/>
    <w:next w:val="000001"/>
    <w:link w:val="000014"/>
    <w:qFormat w:val="1"/>
    <w:pPr>
      <w:numPr/>
      <w:jc w:val="center"/>
      <w:outlineLvl w:val="0"/>
    </w:pPr>
    <w:rPr>
      <w:rFonts w:cstheme="majorBidi"/>
      <w:b w:val="1"/>
      <w:bCs w:val="1"/>
      <w:sz w:val="48"/>
      <w:szCs w:val="32"/>
    </w:rPr>
  </w:style>
  <w:style w:type="paragraph" w:styleId="e7ae2s">
    <w:name w:val="toc 3"/>
    <w:basedOn w:val="000001"/>
    <w:next w:val="000001"/>
    <w:autoRedefine w:val="1"/>
    <w:uiPriority w:val="39"/>
    <w:unhideWhenUsed w:val="1"/>
    <w:pPr>
      <w:numPr/>
      <w:tabs/>
      <w:ind w:left="420"/>
      <w:jc w:val="left"/>
    </w:pPr>
    <w:rPr>
      <w:rFonts w:eastAsiaTheme="minorHAnsi"/>
      <w:iCs w:val="1"/>
      <w:sz w:val="22"/>
      <w:szCs w:val="22"/>
    </w:rPr>
  </w:style>
  <w:style w:type="paragraph" w:styleId="000010">
    <w:name w:val="header"/>
    <w:basedOn w:val="000001"/>
    <w:pPr>
      <w:numPr/>
      <w:pBdr>
        <w:bottom w:val="single" w:color="auto" w:sz="6" w:space="1"/>
      </w:pBdr>
      <w:tabs>
        <w:tab w:val="center" w:pos="4153"/>
        <w:tab w:val="right" w:pos="8306"/>
      </w:tabs>
      <w:snapToGrid w:val="0"/>
      <w:jc w:val="center"/>
    </w:pPr>
    <w:rPr>
      <w:sz w:val="18"/>
      <w:szCs w:val="18"/>
    </w:rPr>
  </w:style>
  <w:style w:type="paragraph" w:styleId="gdcdp3">
    <w:name w:val="toc 1"/>
    <w:basedOn w:val="000001"/>
    <w:next w:val="000001"/>
    <w:autoRedefine w:val="1"/>
    <w:uiPriority w:val="39"/>
    <w:unhideWhenUsed w:val="1"/>
    <w:pPr>
      <w:numPr/>
      <w:tabs/>
      <w:spacing w:before="120" w:after="120"/>
      <w:jc w:val="left"/>
    </w:pPr>
    <w:rPr>
      <w:rFonts w:eastAsiaTheme="minorHAnsi"/>
      <w:b w:val="1"/>
      <w:bCs w:val="1"/>
      <w:caps w:val="1"/>
      <w:sz w:val="22"/>
      <w:szCs w:val="22"/>
    </w:rPr>
  </w:style>
  <w:style w:type="character" w:styleId="000012" w:customStyle="1">
    <w:name w:val="副标题 字符"/>
    <w:basedOn w:val="00000b"/>
    <w:link w:val="000011"/>
    <w:pPr>
      <w:numPr/>
    </w:pPr>
    <w:rPr>
      <w:rFonts w:ascii="Arial" w:hAnsi="Arial" w:eastAsia="微软雅黑" w:cstheme="minorBidi"/>
      <w:b w:val="1"/>
      <w:bCs w:val="1"/>
      <w:kern w:val="28"/>
      <w:sz w:val="44"/>
      <w:szCs w:val="32"/>
    </w:rPr>
  </w:style>
  <w:style w:type="paragraph" w:styleId="t7awdq">
    <w:name w:val="toc 3"/>
    <w:basedOn w:val="000001"/>
    <w:next w:val="000001"/>
    <w:autoRedefine w:val="1"/>
    <w:uiPriority w:val="39"/>
    <w:unhideWhenUsed w:val="1"/>
    <w:pPr>
      <w:numPr/>
      <w:tabs/>
      <w:ind w:left="420"/>
      <w:jc w:val="left"/>
    </w:pPr>
    <w:rPr>
      <w:rFonts w:eastAsiaTheme="minorHAnsi"/>
      <w:iCs w:val="1"/>
      <w:sz w:val="22"/>
      <w:szCs w:val="22"/>
    </w:rPr>
  </w:style>
  <w:style w:type="character" w:styleId="kr3txa">
    <w:name w:val="melo-codeblock-Normal-operator"/>
    <w:basedOn w:val="000017"/>
    <w:next w:val=""/>
    <w:pPr>
      <w:numPr/>
    </w:pPr>
    <w:rPr>
      <w:color w:val="9A6E3A"/>
    </w:rPr>
  </w:style>
  <w:style w:type="paragraph" w:styleId="9e57ax">
    <w:name w:val="toc 3"/>
    <w:basedOn w:val="000001"/>
    <w:next w:val="000001"/>
    <w:autoRedefine w:val="1"/>
    <w:uiPriority w:val="39"/>
    <w:unhideWhenUsed w:val="1"/>
    <w:pPr>
      <w:numPr/>
      <w:tabs/>
      <w:ind w:left="420"/>
      <w:jc w:val="left"/>
    </w:pPr>
    <w:rPr>
      <w:rFonts w:eastAsiaTheme="minorHAnsi"/>
      <w:iCs w:val="1"/>
      <w:sz w:val="22"/>
      <w:szCs w:val="22"/>
    </w:rPr>
  </w:style>
  <w:style w:type="character" w:styleId="xuksgd">
    <w:name w:val="endnote reference"/>
    <w:basedOn w:val="00000b"/>
    <w:next w:val=""/>
    <w:uiPriority w:val="99"/>
    <w:semiHidden w:val="1"/>
    <w:unhideWhenUsed w:val="1"/>
    <w:pPr>
      <w:numPr/>
    </w:pPr>
    <w:rPr>
      <w:vertAlign w:val="superscript"/>
    </w:rPr>
  </w:style>
  <w:style w:type="numbering" w:styleId="00000d" w:default="1">
    <w:name w:val="No List"/>
    <w:uiPriority w:val="99"/>
    <w:semiHidden w:val="1"/>
    <w:unhideWhenUsed w:val="1"/>
    <w:pPr>
      <w:numPr/>
    </w:pPr>
  </w:style>
  <w:style w:type="paragraph" w:styleId="tjrwaj">
    <w:name w:val="toc 2"/>
    <w:basedOn w:val="000001"/>
    <w:next w:val="000001"/>
    <w:autoRedefine w:val="1"/>
    <w:uiPriority w:val="39"/>
    <w:unhideWhenUsed w:val="1"/>
    <w:pPr>
      <w:numPr/>
      <w:tabs/>
      <w:ind w:left="210"/>
      <w:jc w:val="left"/>
    </w:pPr>
    <w:rPr>
      <w:rFonts w:eastAsiaTheme="minorHAnsi"/>
      <w:smallCaps w:val="1"/>
      <w:sz w:val="22"/>
      <w:szCs w:val="22"/>
    </w:rPr>
  </w:style>
  <w:style w:type="paragraph" w:styleId="lnj45x">
    <w:name w:val="toc 1"/>
    <w:basedOn w:val="000001"/>
    <w:next w:val="000001"/>
    <w:autoRedefine w:val="1"/>
    <w:uiPriority w:val="39"/>
    <w:unhideWhenUsed w:val="1"/>
    <w:pPr>
      <w:numPr/>
      <w:tabs/>
      <w:spacing w:before="120" w:after="120"/>
      <w:jc w:val="left"/>
    </w:pPr>
    <w:rPr>
      <w:rFonts w:eastAsia="黑体" w:eastAsiaTheme="minorHAnsi"/>
      <w:b w:val="1"/>
      <w:bCs w:val="1"/>
      <w:caps w:val="1"/>
      <w:sz w:val="24"/>
      <w:szCs w:val="22"/>
    </w:rPr>
  </w:style>
  <w:style w:type="paragraph" w:styleId="000009">
    <w:name w:val="heading 8"/>
    <w:basedOn w:val="000001"/>
    <w:next w:val="000001"/>
    <w:unhideWhenUsed w:val="1"/>
    <w:qFormat w:val="1"/>
    <w:pPr>
      <w:keepNext w:val="1"/>
      <w:keepLines w:val="1"/>
      <w:numPr/>
      <w:spacing w:line="480" w:lineRule="auto"/>
      <w:outlineLvl w:val="7"/>
    </w:pPr>
    <w:rPr>
      <w:b w:val="1"/>
    </w:rPr>
  </w:style>
  <w:style w:type="table" w:styleId="000015">
    <w:name w:val="Table Grid"/>
    <w:basedOn w:val="00000c"/>
    <w:pPr>
      <w:numPr/>
    </w:pPr>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shd/>
      <w:vAlign w:val="center"/>
    </w:tcPr>
  </w:style>
  <w:style w:type="paragraph" w:styleId="iqxhac">
    <w:name w:val="toc 2"/>
    <w:basedOn w:val="000001"/>
    <w:next w:val="000001"/>
    <w:autoRedefine w:val="1"/>
    <w:uiPriority w:val="39"/>
    <w:unhideWhenUsed w:val="1"/>
    <w:pPr>
      <w:numPr/>
      <w:tabs/>
      <w:ind w:left="210"/>
      <w:jc w:val="left"/>
    </w:pPr>
    <w:rPr>
      <w:rFonts w:eastAsiaTheme="minorHAnsi"/>
      <w:smallCaps w:val="1"/>
      <w:sz w:val="22"/>
      <w:szCs w:val="22"/>
    </w:rPr>
  </w:style>
  <w:style w:type="paragraph" w:styleId="v8v69r">
    <w:name w:val="toc 2"/>
    <w:basedOn w:val="000001"/>
    <w:next w:val="000001"/>
    <w:autoRedefine w:val="1"/>
    <w:uiPriority w:val="39"/>
    <w:unhideWhenUsed w:val="1"/>
    <w:pPr>
      <w:numPr/>
      <w:tabs/>
      <w:ind w:left="210"/>
      <w:jc w:val="left"/>
    </w:pPr>
    <w:rPr>
      <w:rFonts w:eastAsiaTheme="minorHAnsi"/>
      <w:smallCaps w:val="1"/>
      <w:sz w:val="22"/>
      <w:szCs w:val="22"/>
    </w:rPr>
  </w:style>
  <w:style w:type="paragraph" w:styleId="2sla8i">
    <w:name w:val="toc 2"/>
    <w:basedOn w:val="000001"/>
    <w:next w:val="000001"/>
    <w:autoRedefine w:val="1"/>
    <w:uiPriority w:val="39"/>
    <w:unhideWhenUsed w:val="1"/>
    <w:pPr>
      <w:numPr/>
      <w:tabs/>
      <w:ind w:left="210"/>
      <w:jc w:val="left"/>
    </w:pPr>
    <w:rPr>
      <w:rFonts w:eastAsiaTheme="minorHAnsi"/>
      <w:smallCaps w:val="1"/>
      <w:sz w:val="21"/>
      <w:szCs w:val="22"/>
    </w:rPr>
  </w:style>
  <w:style w:type="paragraph" w:styleId="wr64nr">
    <w:name w:val="toc 2"/>
    <w:basedOn w:val="000001"/>
    <w:next w:val="000001"/>
    <w:autoRedefine w:val="1"/>
    <w:uiPriority w:val="39"/>
    <w:unhideWhenUsed w:val="1"/>
    <w:pPr>
      <w:numPr/>
      <w:tabs/>
      <w:ind w:left="210"/>
      <w:jc w:val="left"/>
    </w:pPr>
    <w:rPr>
      <w:rFonts w:eastAsiaTheme="minorHAnsi"/>
      <w:smallCaps w:val="1"/>
      <w:sz w:val="22"/>
      <w:szCs w:val="22"/>
    </w:rPr>
  </w:style>
  <w:style w:type="paragraph" w:styleId="glpbdk">
    <w:name w:val="toc 3"/>
    <w:basedOn w:val="000001"/>
    <w:next w:val="000001"/>
    <w:autoRedefine w:val="1"/>
    <w:uiPriority w:val="39"/>
    <w:unhideWhenUsed w:val="1"/>
    <w:pPr>
      <w:numPr/>
      <w:tabs/>
      <w:ind w:left="420"/>
      <w:jc w:val="left"/>
    </w:pPr>
    <w:rPr>
      <w:rFonts w:eastAsiaTheme="minorHAnsi"/>
      <w:iCs w:val="1"/>
      <w:sz w:val="22"/>
      <w:szCs w:val="22"/>
    </w:rPr>
  </w:style>
  <w:style w:type="paragraph" w:styleId="z921kk">
    <w:name w:val="toc 3"/>
    <w:basedOn w:val="000001"/>
    <w:next w:val="000001"/>
    <w:autoRedefine w:val="1"/>
    <w:uiPriority w:val="39"/>
    <w:unhideWhenUsed w:val="1"/>
    <w:pPr>
      <w:numPr/>
      <w:tabs/>
      <w:ind w:left="420"/>
      <w:jc w:val="left"/>
    </w:pPr>
    <w:rPr>
      <w:rFonts w:eastAsiaTheme="minorHAnsi"/>
      <w:iCs w:val="1"/>
      <w:sz w:val="22"/>
      <w:szCs w:val="22"/>
    </w:rPr>
  </w:style>
  <w:style w:type="character" w:styleId="000017" w:customStyle="1">
    <w:name w:val="melo-codeblock-Base-theme-char"/>
    <w:uiPriority w:val="99"/>
    <w:pPr>
      <w:numPr/>
    </w:pPr>
    <w:rPr>
      <w:rFonts w:ascii="Monaco" w:hAnsi="Monaco" w:eastAsia="Monaco" w:cs="Monaco"/>
      <w:color w:val="000000"/>
      <w:sz w:val="21"/>
    </w:rPr>
  </w:style>
  <w:style w:type="paragraph" w:styleId="g9j4ei">
    <w:name w:val="toc 1"/>
    <w:basedOn w:val="000001"/>
    <w:next w:val="000001"/>
    <w:autoRedefine w:val="1"/>
    <w:uiPriority w:val="39"/>
    <w:unhideWhenUsed w:val="1"/>
    <w:pPr>
      <w:numPr/>
      <w:tabs/>
      <w:spacing w:before="120" w:after="120"/>
      <w:jc w:val="left"/>
    </w:pPr>
    <w:rPr>
      <w:rFonts w:eastAsiaTheme="minorHAnsi"/>
      <w:b w:val="1"/>
      <w:bCs w:val="1"/>
      <w:caps w:val="1"/>
      <w:sz w:val="22"/>
      <w:szCs w:val="22"/>
    </w:rPr>
  </w:style>
  <w:style w:type="paragraph" w:styleId="vao1v0">
    <w:name w:val="toc 3"/>
    <w:basedOn w:val="000001"/>
    <w:next w:val="000001"/>
    <w:autoRedefine w:val="1"/>
    <w:uiPriority w:val="39"/>
    <w:unhideWhenUsed w:val="1"/>
    <w:pPr>
      <w:numPr/>
      <w:tabs/>
      <w:ind w:left="420"/>
      <w:jc w:val="left"/>
    </w:pPr>
    <w:rPr>
      <w:rFonts w:eastAsiaTheme="minorHAnsi"/>
      <w:iCs w:val="1"/>
      <w:sz w:val="22"/>
      <w:szCs w:val="22"/>
    </w:rPr>
  </w:style>
  <w:style w:type="paragraph" w:styleId="pouu3f">
    <w:name w:val="toc 2"/>
    <w:basedOn w:val="000001"/>
    <w:next w:val="000001"/>
    <w:autoRedefine w:val="1"/>
    <w:uiPriority w:val="39"/>
    <w:unhideWhenUsed w:val="1"/>
    <w:pPr>
      <w:numPr/>
      <w:tabs/>
      <w:ind w:left="210"/>
      <w:jc w:val="left"/>
    </w:pPr>
    <w:rPr>
      <w:rFonts w:eastAsiaTheme="minorHAnsi"/>
      <w:smallCaps w:val="1"/>
      <w:sz w:val="22"/>
      <w:szCs w:val="22"/>
    </w:rPr>
  </w:style>
</w:styles>
</file>

<file path=word/_rels/document.xml.rels><?xml version="1.0" encoding="UTF-8" standalone="yes"?><Relationships xmlns="http://schemas.openxmlformats.org/package/2006/relationships"><Relationship Id="rId8" Type="http://schemas.openxmlformats.org/officeDocument/2006/relationships/footer" Target="footer1.xml" /><Relationship Id="rId7" Type="http://schemas.openxmlformats.org/officeDocument/2006/relationships/header" Target="header3.xml" /><Relationship Id="rId6" Type="http://schemas.openxmlformats.org/officeDocument/2006/relationships/header" Target="header2.xml" /><Relationship Id="rId4" Type="http://schemas.openxmlformats.org/officeDocument/2006/relationships/theme" Target="theme/theme1.xml" /><Relationship Id="rId11" Type="http://schemas.openxmlformats.org/officeDocument/2006/relationships/image" Target="media/image1.jpg" /><Relationship Id="rId9" Type="http://schemas.openxmlformats.org/officeDocument/2006/relationships/footer" Target="footer2.xml" /><Relationship Id="rId18" Type="http://schemas.openxmlformats.org/officeDocument/2006/relationships/image" Target="media/image8.png" /><Relationship Id="rId20" Type="http://schemas.openxmlformats.org/officeDocument/2006/relationships/image" Target="media/image10.png" /><Relationship Id="rId13" Type="http://schemas.openxmlformats.org/officeDocument/2006/relationships/image" Target="media/image3.png" /><Relationship Id="rId10" Type="http://schemas.openxmlformats.org/officeDocument/2006/relationships/footer" Target="footer3.xml" /><Relationship Id="rId0" Type="http://schemas.openxmlformats.org/officeDocument/2006/relationships/styles" Target="styles.xml" /><Relationship Id="rId5" Type="http://schemas.openxmlformats.org/officeDocument/2006/relationships/header" Target="header1.xml" /><Relationship Id="rId14" Type="http://schemas.openxmlformats.org/officeDocument/2006/relationships/image" Target="media/image4.png" /><Relationship Id="rId15" Type="http://schemas.openxmlformats.org/officeDocument/2006/relationships/image" Target="media/image5.png" /><Relationship Id="rId1" Type="http://schemas.openxmlformats.org/officeDocument/2006/relationships/settings" Target="settings.xml" /><Relationship Id="rId16" Type="http://schemas.openxmlformats.org/officeDocument/2006/relationships/image" Target="media/image6.png" /><Relationship Id="rId12" Type="http://schemas.openxmlformats.org/officeDocument/2006/relationships/image" Target="media/image2.png" /><Relationship Id="rId17" Type="http://schemas.openxmlformats.org/officeDocument/2006/relationships/image" Target="media/image7.png" /><Relationship Id="rId19" Type="http://schemas.openxmlformats.org/officeDocument/2006/relationships/image" Target="media/image9.png" /><Relationship Id="rId2" Type="http://schemas.openxmlformats.org/officeDocument/2006/relationships/endnotes" Target="endnotes.xml" /><Relationship Id="rId3" Type="http://schemas.openxmlformats.org/officeDocument/2006/relationships/fontTable" Target="fontTable.xml" /><Relationship Id="rId21" Type="http://schemas.openxmlformats.org/officeDocument/2006/relationships/image" Target="media/image1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2026-09-04T20:36:40Z</dcterms:created>
  <dcterms:modified xsi:type="dcterms:W3CDTF">2026-09-04T20:36:40Z</dcterms:modified>
</cp:coreProperties>
</file>