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terms-of-use"/>
      <w:r>
        <w:rPr/>
        <w:t>Terms of Use</w:t>
      </w:r>
    </w:p>
    <w:p>
      <w:pPr>
        <w:pStyle w:val="FirstParagraph"/>
        <w:rPr/>
      </w:pPr>
      <w:r>
        <w:rPr/>
        <w:t>Last Updated: June 2026</w:t>
      </w:r>
    </w:p>
    <w:p>
      <w:pPr>
        <w:pStyle w:val="Heading2"/>
        <w:rPr/>
      </w:pPr>
      <w:bookmarkStart w:id="1" w:name="acceptance-of-terms"/>
      <w:r>
        <w:rPr/>
        <w:t>1. Acceptance of Terms</w:t>
      </w:r>
    </w:p>
    <w:p>
      <w:pPr>
        <w:pStyle w:val="FirstParagraph"/>
        <w:rPr/>
      </w:pPr>
      <w:r>
        <w:rPr/>
        <w:t>By accessing or using this website, any assessment, downloadable material, diagnostic tool, coaching service, consultation, newsletter, webinar, or any content provided by The Push and Itay Foyerstein (“Company”, “we”, “our”, or “us”), you agree to be bound by these Terms of Use.</w:t>
      </w:r>
    </w:p>
    <w:p>
      <w:pPr>
        <w:pStyle w:val="BodyText"/>
        <w:rPr/>
      </w:pPr>
      <w:r>
        <w:rPr/>
        <w:t>If you do not agree with these Terms, you should not use this website or any related services.</w:t>
      </w:r>
    </w:p>
    <w:p>
      <w:pPr>
        <w:pStyle w:val="Normal"/>
        <w:rPr/>
      </w:pPr>
      <w:bookmarkStart w:id="2" w:name="acceptance-of-terms"/>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educational-and-informational-purpose"/>
      <w:r>
        <w:rPr/>
        <w:t>2. Educational and Informational Purpose</w:t>
      </w:r>
    </w:p>
    <w:p>
      <w:pPr>
        <w:pStyle w:val="FirstParagraph"/>
        <w:rPr/>
      </w:pPr>
      <w:r>
        <w:rPr/>
        <w:t>All content, assessments, diagnostics, coaching materials, frameworks, methodologies, presentations, articles, videos, reports, and recommendations are provided solely for educational, informational, and professional development purposes.</w:t>
      </w:r>
    </w:p>
    <w:p>
      <w:pPr>
        <w:pStyle w:val="BodyText"/>
        <w:rPr/>
      </w:pPr>
      <w:r>
        <w:rPr/>
        <w:t>Nothing contained on this website or in any related service shall be construed as legal advice, financial advice, tax advice, employment advice, business consulting advice, investment advice, or any other regulated professional advice.</w:t>
      </w:r>
    </w:p>
    <w:p>
      <w:pPr>
        <w:pStyle w:val="BodyText"/>
        <w:rPr/>
      </w:pPr>
      <w:r>
        <w:rPr/>
        <w:t>Users remain solely responsible for any decisions, actions, strategies, investments, hiring decisions, organizational changes, or business outcomes resulting from the use of our content or services.</w:t>
      </w:r>
    </w:p>
    <w:p>
      <w:pPr>
        <w:pStyle w:val="Normal"/>
        <w:rPr/>
      </w:pPr>
      <w:bookmarkStart w:id="4" w:name="educational-and-informational-purpose"/>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no-guarantee-of-results"/>
      <w:r>
        <w:rPr/>
        <w:t>3. No Guarantee of Results</w:t>
      </w:r>
    </w:p>
    <w:p>
      <w:pPr>
        <w:pStyle w:val="FirstParagraph"/>
        <w:rPr/>
      </w:pPr>
      <w:r>
        <w:rPr/>
        <w:t>The Company makes no representation, warranty, or guarantee regarding any specific outcome, business result, promotion, revenue increase, organizational improvement, leadership advancement, operational improvement, hiring success, retention improvement, productivity increase, or any other result.</w:t>
      </w:r>
    </w:p>
    <w:p>
      <w:pPr>
        <w:pStyle w:val="BodyText"/>
        <w:rPr/>
      </w:pPr>
      <w:r>
        <w:rPr/>
        <w:t>Examples, case studies, testimonials, success stories, customer experiences, or references to prior engagements are illustrative only and do not guarantee similar outcomes.</w:t>
      </w:r>
    </w:p>
    <w:p>
      <w:pPr>
        <w:pStyle w:val="BodyText"/>
        <w:rPr/>
      </w:pPr>
      <w:r>
        <w:rPr/>
        <w:t>Results depend on numerous factors outside our control, including individual effort, organizational conditions, leadership decisions, market conditions, execution quality, and other variables.</w:t>
      </w:r>
    </w:p>
    <w:p>
      <w:pPr>
        <w:pStyle w:val="Normal"/>
        <w:rPr/>
      </w:pPr>
      <w:bookmarkStart w:id="6" w:name="no-guarantee-of-result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assessments-and-diagnostic-tools"/>
      <w:r>
        <w:rPr/>
        <w:t>4. Assessments and Diagnostic Tools</w:t>
      </w:r>
    </w:p>
    <w:p>
      <w:pPr>
        <w:pStyle w:val="FirstParagraph"/>
        <w:rPr/>
      </w:pPr>
      <w:r>
        <w:rPr/>
        <w:t>Any assessment, questionnaire, score, report, diagnostic output, recommendation, framework, or evaluation provided through this website is intended solely as an informational tool.</w:t>
      </w:r>
    </w:p>
    <w:p>
      <w:pPr>
        <w:pStyle w:val="BodyText"/>
        <w:rPr/>
      </w:pPr>
      <w:r>
        <w:rPr/>
        <w:t>Assessments do not constitute professional certification, psychological evaluation, organizational audit, management consulting report, employment recommendation, or professional opinion.</w:t>
      </w:r>
    </w:p>
    <w:p>
      <w:pPr>
        <w:pStyle w:val="BodyText"/>
        <w:rPr/>
      </w:pPr>
      <w:r>
        <w:rPr/>
        <w:t>Users are solely responsible for interpreting and acting upon any assessment results.</w:t>
      </w:r>
    </w:p>
    <w:p>
      <w:pPr>
        <w:pStyle w:val="Heading2"/>
        <w:spacing w:before="180" w:after="180"/>
        <w:rPr/>
      </w:pPr>
      <w:r>
        <w:rPr/>
        <w:t>4A. Diagnostic Calls Disclaimer</w:t>
      </w:r>
    </w:p>
    <w:p>
      <w:pPr>
        <w:pStyle w:val="BodyText"/>
        <w:rPr/>
      </w:pPr>
      <w:r>
        <w:rPr/>
        <w:t>Any diagnostic call, discovery session, assessment review, consultation, coaching conversation, strategy discussion, or recommendation provided by the Company is intended solely for educational, informational, and professional development purposes.</w:t>
      </w:r>
    </w:p>
    <w:p>
      <w:pPr>
        <w:pStyle w:val="BodyText"/>
        <w:rPr/>
      </w:pPr>
      <w:r>
        <w:rPr/>
        <w:t>No diagnostic call, assessment review, consultation, or coaching interaction shall be interpreted as:</w:t>
      </w:r>
    </w:p>
    <w:p>
      <w:pPr>
        <w:pStyle w:val="BodyText"/>
        <w:numPr>
          <w:ilvl w:val="0"/>
          <w:numId w:val="5"/>
        </w:numPr>
        <w:tabs>
          <w:tab w:val="clear" w:pos="720"/>
          <w:tab w:val="left" w:pos="0" w:leader="none"/>
        </w:tabs>
        <w:ind w:hanging="283" w:left="709"/>
        <w:rPr/>
      </w:pPr>
      <w:r>
        <w:rPr/>
        <w:t>Management consulting services</w:t>
      </w:r>
    </w:p>
    <w:p>
      <w:pPr>
        <w:pStyle w:val="BodyText"/>
        <w:numPr>
          <w:ilvl w:val="0"/>
          <w:numId w:val="5"/>
        </w:numPr>
        <w:tabs>
          <w:tab w:val="clear" w:pos="720"/>
          <w:tab w:val="left" w:pos="0" w:leader="none"/>
        </w:tabs>
        <w:ind w:hanging="283" w:left="709"/>
        <w:rPr/>
      </w:pPr>
      <w:r>
        <w:rPr/>
        <w:t>Legal advice</w:t>
      </w:r>
    </w:p>
    <w:p>
      <w:pPr>
        <w:pStyle w:val="BodyText"/>
        <w:numPr>
          <w:ilvl w:val="0"/>
          <w:numId w:val="5"/>
        </w:numPr>
        <w:tabs>
          <w:tab w:val="clear" w:pos="720"/>
          <w:tab w:val="left" w:pos="0" w:leader="none"/>
        </w:tabs>
        <w:ind w:hanging="283" w:left="709"/>
        <w:rPr/>
      </w:pPr>
      <w:r>
        <w:rPr/>
        <w:t>Financial advice</w:t>
      </w:r>
    </w:p>
    <w:p>
      <w:pPr>
        <w:pStyle w:val="BodyText"/>
        <w:numPr>
          <w:ilvl w:val="0"/>
          <w:numId w:val="5"/>
        </w:numPr>
        <w:tabs>
          <w:tab w:val="clear" w:pos="720"/>
          <w:tab w:val="left" w:pos="0" w:leader="none"/>
        </w:tabs>
        <w:ind w:hanging="283" w:left="709"/>
        <w:rPr/>
      </w:pPr>
      <w:r>
        <w:rPr/>
        <w:t>Employment advice</w:t>
      </w:r>
    </w:p>
    <w:p>
      <w:pPr>
        <w:pStyle w:val="BodyText"/>
        <w:numPr>
          <w:ilvl w:val="0"/>
          <w:numId w:val="5"/>
        </w:numPr>
        <w:tabs>
          <w:tab w:val="clear" w:pos="720"/>
          <w:tab w:val="left" w:pos="0" w:leader="none"/>
        </w:tabs>
        <w:ind w:hanging="283" w:left="709"/>
        <w:rPr/>
      </w:pPr>
      <w:r>
        <w:rPr/>
        <w:t>Organizational audit</w:t>
      </w:r>
    </w:p>
    <w:p>
      <w:pPr>
        <w:pStyle w:val="BodyText"/>
        <w:numPr>
          <w:ilvl w:val="0"/>
          <w:numId w:val="5"/>
        </w:numPr>
        <w:tabs>
          <w:tab w:val="clear" w:pos="720"/>
          <w:tab w:val="left" w:pos="0" w:leader="none"/>
        </w:tabs>
        <w:ind w:hanging="283" w:left="709"/>
        <w:rPr/>
      </w:pPr>
      <w:r>
        <w:rPr/>
        <w:t>Business guarantee</w:t>
      </w:r>
    </w:p>
    <w:p>
      <w:pPr>
        <w:pStyle w:val="BodyText"/>
        <w:numPr>
          <w:ilvl w:val="0"/>
          <w:numId w:val="5"/>
        </w:numPr>
        <w:tabs>
          <w:tab w:val="clear" w:pos="720"/>
          <w:tab w:val="left" w:pos="0" w:leader="none"/>
        </w:tabs>
        <w:ind w:hanging="283" w:left="709"/>
        <w:rPr/>
      </w:pPr>
      <w:r>
        <w:rPr/>
        <w:t>Professional certification</w:t>
      </w:r>
    </w:p>
    <w:p>
      <w:pPr>
        <w:pStyle w:val="BodyText"/>
        <w:numPr>
          <w:ilvl w:val="0"/>
          <w:numId w:val="5"/>
        </w:numPr>
        <w:tabs>
          <w:tab w:val="clear" w:pos="720"/>
          <w:tab w:val="left" w:pos="0" w:leader="none"/>
        </w:tabs>
        <w:ind w:hanging="283" w:left="709"/>
        <w:rPr/>
      </w:pPr>
      <w:r>
        <w:rPr/>
        <w:t>Fiduciary relationship</w:t>
      </w:r>
    </w:p>
    <w:p>
      <w:pPr>
        <w:pStyle w:val="BodyText"/>
        <w:rPr/>
      </w:pPr>
      <w:r>
        <w:rPr/>
        <w:t>Participation in any call or assessment does not create a client-consultant, advisor-client, fiduciary, partnership, employment, or agency relationship.</w:t>
      </w:r>
    </w:p>
    <w:p>
      <w:pPr>
        <w:pStyle w:val="BodyText"/>
        <w:rPr/>
      </w:pPr>
      <w:r>
        <w:rPr/>
        <w:t>The Company does not assume responsibility for decisions, actions, or outcomes resulting from information discussed during any diagnostic or coaching interaction.</w:t>
      </w:r>
    </w:p>
    <w:p>
      <w:pPr>
        <w:pStyle w:val="HorizontalLine"/>
        <w:spacing w:before="180" w:after="180"/>
        <w:rPr/>
      </w:pPr>
      <w:r>
        <w:rPr/>
      </w:r>
    </w:p>
    <w:p>
      <w:pPr>
        <w:pStyle w:val="Heading2"/>
        <w:spacing w:before="180" w:after="180"/>
        <w:rPr/>
      </w:pPr>
      <w:r>
        <w:rPr/>
        <w:t>4B. No Organizational Warranty</w:t>
      </w:r>
    </w:p>
    <w:p>
      <w:pPr>
        <w:pStyle w:val="BodyText"/>
        <w:rPr/>
      </w:pPr>
      <w:r>
        <w:rPr/>
        <w:t>The Company does not warrant, guarantee, or represent that implementation of any recommendation, framework, assessment result, methodology, coaching insight, leadership model, or organizational change will:</w:t>
      </w:r>
    </w:p>
    <w:p>
      <w:pPr>
        <w:pStyle w:val="BodyText"/>
        <w:numPr>
          <w:ilvl w:val="0"/>
          <w:numId w:val="6"/>
        </w:numPr>
        <w:tabs>
          <w:tab w:val="clear" w:pos="720"/>
          <w:tab w:val="left" w:pos="0" w:leader="none"/>
        </w:tabs>
        <w:ind w:hanging="283" w:left="709"/>
        <w:rPr/>
      </w:pPr>
      <w:r>
        <w:rPr/>
        <w:t>Improve performance</w:t>
      </w:r>
    </w:p>
    <w:p>
      <w:pPr>
        <w:pStyle w:val="BodyText"/>
        <w:numPr>
          <w:ilvl w:val="0"/>
          <w:numId w:val="6"/>
        </w:numPr>
        <w:tabs>
          <w:tab w:val="clear" w:pos="720"/>
          <w:tab w:val="left" w:pos="0" w:leader="none"/>
        </w:tabs>
        <w:ind w:hanging="283" w:left="709"/>
        <w:rPr/>
      </w:pPr>
      <w:r>
        <w:rPr/>
        <w:t>Increase productivity</w:t>
      </w:r>
    </w:p>
    <w:p>
      <w:pPr>
        <w:pStyle w:val="BodyText"/>
        <w:numPr>
          <w:ilvl w:val="0"/>
          <w:numId w:val="6"/>
        </w:numPr>
        <w:tabs>
          <w:tab w:val="clear" w:pos="720"/>
          <w:tab w:val="left" w:pos="0" w:leader="none"/>
        </w:tabs>
        <w:ind w:hanging="283" w:left="709"/>
        <w:rPr/>
      </w:pPr>
      <w:r>
        <w:rPr/>
        <w:t>Improve employee retention</w:t>
      </w:r>
    </w:p>
    <w:p>
      <w:pPr>
        <w:pStyle w:val="BodyText"/>
        <w:numPr>
          <w:ilvl w:val="0"/>
          <w:numId w:val="6"/>
        </w:numPr>
        <w:tabs>
          <w:tab w:val="clear" w:pos="720"/>
          <w:tab w:val="left" w:pos="0" w:leader="none"/>
        </w:tabs>
        <w:ind w:hanging="283" w:left="709"/>
        <w:rPr/>
      </w:pPr>
      <w:r>
        <w:rPr/>
        <w:t>Improve execution</w:t>
      </w:r>
    </w:p>
    <w:p>
      <w:pPr>
        <w:pStyle w:val="BodyText"/>
        <w:numPr>
          <w:ilvl w:val="0"/>
          <w:numId w:val="6"/>
        </w:numPr>
        <w:tabs>
          <w:tab w:val="clear" w:pos="720"/>
          <w:tab w:val="left" w:pos="0" w:leader="none"/>
        </w:tabs>
        <w:ind w:hanging="283" w:left="709"/>
        <w:rPr/>
      </w:pPr>
      <w:r>
        <w:rPr/>
        <w:t>Reduce dependency</w:t>
      </w:r>
    </w:p>
    <w:p>
      <w:pPr>
        <w:pStyle w:val="BodyText"/>
        <w:numPr>
          <w:ilvl w:val="0"/>
          <w:numId w:val="6"/>
        </w:numPr>
        <w:tabs>
          <w:tab w:val="clear" w:pos="720"/>
          <w:tab w:val="left" w:pos="0" w:leader="none"/>
        </w:tabs>
        <w:ind w:hanging="283" w:left="709"/>
        <w:rPr/>
      </w:pPr>
      <w:r>
        <w:rPr/>
        <w:t>Increase revenue</w:t>
      </w:r>
    </w:p>
    <w:p>
      <w:pPr>
        <w:pStyle w:val="BodyText"/>
        <w:numPr>
          <w:ilvl w:val="0"/>
          <w:numId w:val="6"/>
        </w:numPr>
        <w:tabs>
          <w:tab w:val="clear" w:pos="720"/>
          <w:tab w:val="left" w:pos="0" w:leader="none"/>
        </w:tabs>
        <w:ind w:hanging="283" w:left="709"/>
        <w:rPr/>
      </w:pPr>
      <w:r>
        <w:rPr/>
        <w:t>Accelerate growth</w:t>
      </w:r>
    </w:p>
    <w:p>
      <w:pPr>
        <w:pStyle w:val="BodyText"/>
        <w:numPr>
          <w:ilvl w:val="0"/>
          <w:numId w:val="6"/>
        </w:numPr>
        <w:tabs>
          <w:tab w:val="clear" w:pos="720"/>
          <w:tab w:val="left" w:pos="0" w:leader="none"/>
        </w:tabs>
        <w:ind w:hanging="283" w:left="709"/>
        <w:rPr/>
      </w:pPr>
      <w:r>
        <w:rPr/>
        <w:t>Improve leadership effectiveness</w:t>
      </w:r>
    </w:p>
    <w:p>
      <w:pPr>
        <w:pStyle w:val="BodyText"/>
        <w:numPr>
          <w:ilvl w:val="0"/>
          <w:numId w:val="6"/>
        </w:numPr>
        <w:tabs>
          <w:tab w:val="clear" w:pos="720"/>
          <w:tab w:val="left" w:pos="0" w:leader="none"/>
        </w:tabs>
        <w:ind w:hanging="283" w:left="709"/>
        <w:rPr/>
      </w:pPr>
      <w:r>
        <w:rPr/>
        <w:t>Improve organizational outcomes</w:t>
      </w:r>
    </w:p>
    <w:p>
      <w:pPr>
        <w:pStyle w:val="BodyText"/>
        <w:rPr/>
      </w:pPr>
      <w:r>
        <w:rPr/>
        <w:t>Any implementation remains solely at the discretion and risk of the client or organization.</w:t>
      </w:r>
    </w:p>
    <w:p>
      <w:pPr>
        <w:pStyle w:val="HorizontalLine"/>
        <w:spacing w:before="180" w:after="180"/>
        <w:rPr/>
      </w:pPr>
      <w:r>
        <w:rPr/>
      </w:r>
    </w:p>
    <w:p>
      <w:pPr>
        <w:pStyle w:val="Heading2"/>
        <w:spacing w:before="180" w:after="180"/>
        <w:rPr/>
      </w:pPr>
      <w:r>
        <w:rPr/>
        <w:t>4C. Independent Judgment</w:t>
      </w:r>
    </w:p>
    <w:p>
      <w:pPr>
        <w:pStyle w:val="BodyText"/>
        <w:rPr/>
      </w:pPr>
      <w:r>
        <w:rPr/>
        <w:t>Users acknowledge that all recommendations, frameworks, methodologies, assessments, and coaching insights provided by the Company are intended to support independent decision-making.</w:t>
      </w:r>
    </w:p>
    <w:p>
      <w:pPr>
        <w:pStyle w:val="BodyText"/>
        <w:rPr/>
      </w:pPr>
      <w:r>
        <w:rPr/>
        <w:t>Users remain solely responsible for evaluating, validating, and determining the suitability of any recommendation for their specific circumstances.</w:t>
      </w:r>
    </w:p>
    <w:p>
      <w:pPr>
        <w:pStyle w:val="BodyText"/>
        <w:rPr/>
      </w:pPr>
      <w:r>
        <w:rPr/>
        <w:t>The Company shall not be liable for decisions made or not made based on information provided through its services.</w:t>
      </w:r>
    </w:p>
    <w:p>
      <w:pPr>
        <w:pStyle w:val="HorizontalLine"/>
        <w:spacing w:before="180" w:after="180"/>
        <w:rPr/>
      </w:pPr>
      <w:r>
        <w:rPr/>
      </w:r>
    </w:p>
    <w:p>
      <w:pPr>
        <w:pStyle w:val="Heading2"/>
        <w:spacing w:before="180" w:after="180"/>
        <w:rPr/>
      </w:pPr>
      <w:r>
        <w:rPr/>
        <w:t>4D. No Employment, Promotion, or Career Guarantees</w:t>
      </w:r>
    </w:p>
    <w:p>
      <w:pPr>
        <w:pStyle w:val="BodyText"/>
        <w:rPr/>
      </w:pPr>
      <w:r>
        <w:rPr/>
        <w:t>The Company makes no representation, warranty, or guarantee regarding:</w:t>
      </w:r>
    </w:p>
    <w:p>
      <w:pPr>
        <w:pStyle w:val="BodyText"/>
        <w:numPr>
          <w:ilvl w:val="0"/>
          <w:numId w:val="7"/>
        </w:numPr>
        <w:tabs>
          <w:tab w:val="clear" w:pos="720"/>
          <w:tab w:val="left" w:pos="0" w:leader="none"/>
        </w:tabs>
        <w:ind w:hanging="283" w:left="709"/>
        <w:rPr/>
      </w:pPr>
      <w:r>
        <w:rPr/>
        <w:t>Promotions</w:t>
      </w:r>
    </w:p>
    <w:p>
      <w:pPr>
        <w:pStyle w:val="BodyText"/>
        <w:numPr>
          <w:ilvl w:val="0"/>
          <w:numId w:val="7"/>
        </w:numPr>
        <w:tabs>
          <w:tab w:val="clear" w:pos="720"/>
          <w:tab w:val="left" w:pos="0" w:leader="none"/>
        </w:tabs>
        <w:ind w:hanging="283" w:left="709"/>
        <w:rPr/>
      </w:pPr>
      <w:r>
        <w:rPr/>
        <w:t>Compensation increases</w:t>
      </w:r>
    </w:p>
    <w:p>
      <w:pPr>
        <w:pStyle w:val="BodyText"/>
        <w:numPr>
          <w:ilvl w:val="0"/>
          <w:numId w:val="7"/>
        </w:numPr>
        <w:tabs>
          <w:tab w:val="clear" w:pos="720"/>
          <w:tab w:val="left" w:pos="0" w:leader="none"/>
        </w:tabs>
        <w:ind w:hanging="283" w:left="709"/>
        <w:rPr/>
      </w:pPr>
      <w:r>
        <w:rPr/>
        <w:t>Career advancement</w:t>
      </w:r>
    </w:p>
    <w:p>
      <w:pPr>
        <w:pStyle w:val="BodyText"/>
        <w:numPr>
          <w:ilvl w:val="0"/>
          <w:numId w:val="7"/>
        </w:numPr>
        <w:tabs>
          <w:tab w:val="clear" w:pos="720"/>
          <w:tab w:val="left" w:pos="0" w:leader="none"/>
        </w:tabs>
        <w:ind w:hanging="283" w:left="709"/>
        <w:rPr/>
      </w:pPr>
      <w:r>
        <w:rPr/>
        <w:t>Job offers</w:t>
      </w:r>
    </w:p>
    <w:p>
      <w:pPr>
        <w:pStyle w:val="BodyText"/>
        <w:numPr>
          <w:ilvl w:val="0"/>
          <w:numId w:val="7"/>
        </w:numPr>
        <w:tabs>
          <w:tab w:val="clear" w:pos="720"/>
          <w:tab w:val="left" w:pos="0" w:leader="none"/>
        </w:tabs>
        <w:ind w:hanging="283" w:left="709"/>
        <w:rPr/>
      </w:pPr>
      <w:r>
        <w:rPr/>
        <w:t>Executive appointments</w:t>
      </w:r>
    </w:p>
    <w:p>
      <w:pPr>
        <w:pStyle w:val="BodyText"/>
        <w:numPr>
          <w:ilvl w:val="0"/>
          <w:numId w:val="7"/>
        </w:numPr>
        <w:tabs>
          <w:tab w:val="clear" w:pos="720"/>
          <w:tab w:val="left" w:pos="0" w:leader="none"/>
        </w:tabs>
        <w:ind w:hanging="283" w:left="709"/>
        <w:rPr/>
      </w:pPr>
      <w:r>
        <w:rPr/>
        <w:t>Leadership appointments</w:t>
      </w:r>
    </w:p>
    <w:p>
      <w:pPr>
        <w:pStyle w:val="BodyText"/>
        <w:numPr>
          <w:ilvl w:val="0"/>
          <w:numId w:val="7"/>
        </w:numPr>
        <w:tabs>
          <w:tab w:val="clear" w:pos="720"/>
          <w:tab w:val="left" w:pos="0" w:leader="none"/>
        </w:tabs>
        <w:ind w:hanging="283" w:left="709"/>
        <w:rPr/>
      </w:pPr>
      <w:r>
        <w:rPr/>
        <w:t>Performance evaluations</w:t>
      </w:r>
    </w:p>
    <w:p>
      <w:pPr>
        <w:pStyle w:val="BodyText"/>
        <w:numPr>
          <w:ilvl w:val="0"/>
          <w:numId w:val="7"/>
        </w:numPr>
        <w:tabs>
          <w:tab w:val="clear" w:pos="720"/>
          <w:tab w:val="left" w:pos="0" w:leader="none"/>
        </w:tabs>
        <w:ind w:hanging="283" w:left="709"/>
        <w:rPr/>
      </w:pPr>
      <w:r>
        <w:rPr/>
        <w:t>Organizational recognition</w:t>
      </w:r>
    </w:p>
    <w:p>
      <w:pPr>
        <w:pStyle w:val="BodyText"/>
        <w:rPr/>
      </w:pPr>
      <w:r>
        <w:rPr/>
        <w:t>Any references to leadership growth, executive readiness, strategic leadership, promotion readiness, or career advancement are aspirational in nature and do not constitute promises, guarantees, or commitments.</w:t>
      </w:r>
    </w:p>
    <w:p>
      <w:pPr>
        <w:pStyle w:val="BodyText"/>
        <w:rPr/>
      </w:pPr>
      <w:r>
        <w:rPr/>
      </w:r>
    </w:p>
    <w:p>
      <w:pPr>
        <w:pStyle w:val="Heading2"/>
        <w:spacing w:before="180" w:after="180"/>
        <w:rPr/>
      </w:pPr>
      <w:r>
        <w:rPr/>
        <w:t>4E. Framework and Assessment Disclaimer</w:t>
      </w:r>
    </w:p>
    <w:p>
      <w:pPr>
        <w:pStyle w:val="BodyText"/>
        <w:rPr/>
      </w:pPr>
      <w:r>
        <w:rPr/>
        <w:t>Frameworks, concepts, terminology, scores, labels, assessments, and methodologies including but not limited to:</w:t>
      </w:r>
    </w:p>
    <w:p>
      <w:pPr>
        <w:pStyle w:val="BodyText"/>
        <w:numPr>
          <w:ilvl w:val="0"/>
          <w:numId w:val="8"/>
        </w:numPr>
        <w:tabs>
          <w:tab w:val="clear" w:pos="720"/>
          <w:tab w:val="left" w:pos="0" w:leader="none"/>
        </w:tabs>
        <w:ind w:hanging="283" w:left="709"/>
        <w:rPr/>
      </w:pPr>
      <w:r>
        <w:rPr/>
        <w:t>The Push Methodology™</w:t>
      </w:r>
    </w:p>
    <w:p>
      <w:pPr>
        <w:pStyle w:val="BodyText"/>
        <w:numPr>
          <w:ilvl w:val="0"/>
          <w:numId w:val="8"/>
        </w:numPr>
        <w:tabs>
          <w:tab w:val="clear" w:pos="720"/>
          <w:tab w:val="left" w:pos="0" w:leader="none"/>
        </w:tabs>
        <w:ind w:hanging="283" w:left="709"/>
        <w:rPr/>
      </w:pPr>
      <w:r>
        <w:rPr/>
        <w:t>Player Trap™</w:t>
      </w:r>
    </w:p>
    <w:p>
      <w:pPr>
        <w:pStyle w:val="BodyText"/>
        <w:numPr>
          <w:ilvl w:val="0"/>
          <w:numId w:val="8"/>
        </w:numPr>
        <w:tabs>
          <w:tab w:val="clear" w:pos="720"/>
          <w:tab w:val="left" w:pos="0" w:leader="none"/>
        </w:tabs>
        <w:ind w:hanging="283" w:left="709"/>
        <w:rPr/>
      </w:pPr>
      <w:r>
        <w:rPr/>
        <w:t>Promotion Trap™</w:t>
      </w:r>
    </w:p>
    <w:p>
      <w:pPr>
        <w:pStyle w:val="BodyText"/>
        <w:numPr>
          <w:ilvl w:val="0"/>
          <w:numId w:val="8"/>
        </w:numPr>
        <w:tabs>
          <w:tab w:val="clear" w:pos="720"/>
          <w:tab w:val="left" w:pos="0" w:leader="none"/>
        </w:tabs>
        <w:ind w:hanging="283" w:left="709"/>
        <w:rPr/>
      </w:pPr>
      <w:r>
        <w:rPr/>
        <w:t>Decision Engine™</w:t>
      </w:r>
    </w:p>
    <w:p>
      <w:pPr>
        <w:pStyle w:val="BodyText"/>
        <w:numPr>
          <w:ilvl w:val="0"/>
          <w:numId w:val="8"/>
        </w:numPr>
        <w:tabs>
          <w:tab w:val="clear" w:pos="720"/>
          <w:tab w:val="left" w:pos="0" w:leader="none"/>
        </w:tabs>
        <w:ind w:hanging="283" w:left="709"/>
        <w:rPr/>
      </w:pPr>
      <w:r>
        <w:rPr/>
        <w:t>Pre-Promoted Leader™</w:t>
      </w:r>
    </w:p>
    <w:p>
      <w:pPr>
        <w:pStyle w:val="BodyText"/>
        <w:numPr>
          <w:ilvl w:val="0"/>
          <w:numId w:val="8"/>
        </w:numPr>
        <w:tabs>
          <w:tab w:val="clear" w:pos="720"/>
          <w:tab w:val="left" w:pos="0" w:leader="none"/>
        </w:tabs>
        <w:ind w:hanging="283" w:left="709"/>
        <w:rPr/>
      </w:pPr>
      <w:r>
        <w:rPr/>
        <w:t>Invisible Executor™</w:t>
      </w:r>
    </w:p>
    <w:p>
      <w:pPr>
        <w:pStyle w:val="BodyText"/>
        <w:rPr/>
      </w:pPr>
      <w:r>
        <w:rPr/>
        <w:t>are proprietary educational frameworks developed to facilitate discussion, reflection, leadership development, and organizational learning.</w:t>
      </w:r>
    </w:p>
    <w:p>
      <w:pPr>
        <w:pStyle w:val="BodyText"/>
        <w:rPr/>
      </w:pPr>
      <w:r>
        <w:rPr/>
        <w:t>Such frameworks are conceptual models only and should not be interpreted as objective measurements, scientific assessments, psychological evaluations, professional certifications, or definitive representations of an individual's leadership capability, organizational effectiveness, or professional performance.</w:t>
      </w:r>
    </w:p>
    <w:p>
      <w:pPr>
        <w:pStyle w:val="BodyText"/>
        <w:rPr/>
      </w:pPr>
      <w:r>
        <w:rPr/>
      </w:r>
    </w:p>
    <w:p>
      <w:pPr>
        <w:pStyle w:val="Normal"/>
        <w:rPr/>
      </w:pPr>
      <w:bookmarkStart w:id="8" w:name="assessments-and-diagnostic-tool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limitation-of-liability"/>
      <w:r>
        <w:rPr/>
        <w:t>5. Limitation of Liability</w:t>
      </w:r>
    </w:p>
    <w:p>
      <w:pPr>
        <w:pStyle w:val="FirstParagraph"/>
        <w:rPr/>
      </w:pPr>
      <w:r>
        <w:rPr/>
        <w:t>To the maximum extent permitted by applicable law, the Company, its owners, affiliates, contractors, representatives, employees, partners, licensors, and service providers shall not be liable for any direct, indirect, incidental, consequential, special, punitive, or exemplary damages arising from:</w:t>
      </w:r>
    </w:p>
    <w:p>
      <w:pPr>
        <w:pStyle w:val="Compact"/>
        <w:numPr>
          <w:ilvl w:val="0"/>
          <w:numId w:val="1"/>
        </w:numPr>
        <w:rPr/>
      </w:pPr>
      <w:r>
        <w:rPr/>
        <w:t>Use of the website</w:t>
      </w:r>
    </w:p>
    <w:p>
      <w:pPr>
        <w:pStyle w:val="Compact"/>
        <w:numPr>
          <w:ilvl w:val="0"/>
          <w:numId w:val="1"/>
        </w:numPr>
        <w:rPr/>
      </w:pPr>
      <w:r>
        <w:rPr/>
        <w:t>Use of assessments</w:t>
      </w:r>
    </w:p>
    <w:p>
      <w:pPr>
        <w:pStyle w:val="Compact"/>
        <w:numPr>
          <w:ilvl w:val="0"/>
          <w:numId w:val="1"/>
        </w:numPr>
        <w:rPr/>
      </w:pPr>
      <w:r>
        <w:rPr/>
        <w:t>Use of coaching services</w:t>
      </w:r>
    </w:p>
    <w:p>
      <w:pPr>
        <w:pStyle w:val="Compact"/>
        <w:numPr>
          <w:ilvl w:val="0"/>
          <w:numId w:val="1"/>
        </w:numPr>
        <w:rPr/>
      </w:pPr>
      <w:r>
        <w:rPr/>
        <w:t>Reliance on recommendations</w:t>
      </w:r>
    </w:p>
    <w:p>
      <w:pPr>
        <w:pStyle w:val="Compact"/>
        <w:numPr>
          <w:ilvl w:val="0"/>
          <w:numId w:val="1"/>
        </w:numPr>
        <w:rPr/>
      </w:pPr>
      <w:r>
        <w:rPr/>
        <w:t>Business decisions</w:t>
      </w:r>
    </w:p>
    <w:p>
      <w:pPr>
        <w:pStyle w:val="Compact"/>
        <w:numPr>
          <w:ilvl w:val="0"/>
          <w:numId w:val="1"/>
        </w:numPr>
        <w:rPr/>
      </w:pPr>
      <w:r>
        <w:rPr/>
        <w:t>Employment decisions</w:t>
      </w:r>
    </w:p>
    <w:p>
      <w:pPr>
        <w:pStyle w:val="Compact"/>
        <w:numPr>
          <w:ilvl w:val="0"/>
          <w:numId w:val="1"/>
        </w:numPr>
        <w:rPr/>
      </w:pPr>
      <w:r>
        <w:rPr/>
        <w:t>Organizational changes</w:t>
      </w:r>
    </w:p>
    <w:p>
      <w:pPr>
        <w:pStyle w:val="Compact"/>
        <w:numPr>
          <w:ilvl w:val="0"/>
          <w:numId w:val="1"/>
        </w:numPr>
        <w:rPr/>
      </w:pPr>
      <w:r>
        <w:rPr/>
        <w:t>Technology decisions</w:t>
      </w:r>
    </w:p>
    <w:p>
      <w:pPr>
        <w:pStyle w:val="Compact"/>
        <w:numPr>
          <w:ilvl w:val="0"/>
          <w:numId w:val="1"/>
        </w:numPr>
        <w:rPr/>
      </w:pPr>
      <w:r>
        <w:rPr/>
        <w:t>Revenue loss</w:t>
      </w:r>
    </w:p>
    <w:p>
      <w:pPr>
        <w:pStyle w:val="Compact"/>
        <w:numPr>
          <w:ilvl w:val="0"/>
          <w:numId w:val="1"/>
        </w:numPr>
        <w:rPr/>
      </w:pPr>
      <w:r>
        <w:rPr/>
        <w:t>Profit loss</w:t>
      </w:r>
    </w:p>
    <w:p>
      <w:pPr>
        <w:pStyle w:val="Compact"/>
        <w:numPr>
          <w:ilvl w:val="0"/>
          <w:numId w:val="1"/>
        </w:numPr>
        <w:rPr/>
      </w:pPr>
      <w:r>
        <w:rPr/>
        <w:t>Data loss</w:t>
      </w:r>
    </w:p>
    <w:p>
      <w:pPr>
        <w:pStyle w:val="Compact"/>
        <w:numPr>
          <w:ilvl w:val="0"/>
          <w:numId w:val="1"/>
        </w:numPr>
        <w:rPr/>
      </w:pPr>
      <w:r>
        <w:rPr/>
        <w:t>Reputational damage</w:t>
      </w:r>
    </w:p>
    <w:p>
      <w:pPr>
        <w:pStyle w:val="Compact"/>
        <w:numPr>
          <w:ilvl w:val="0"/>
          <w:numId w:val="1"/>
        </w:numPr>
        <w:rPr/>
      </w:pPr>
      <w:r>
        <w:rPr/>
        <w:t>Business interruption</w:t>
      </w:r>
    </w:p>
    <w:p>
      <w:pPr>
        <w:pStyle w:val="FirstParagraph"/>
        <w:rPr/>
      </w:pPr>
      <w:r>
        <w:rPr/>
        <w:t>Whether based on contract, negligence, tort, statutory liability, or any other legal theory.</w:t>
      </w:r>
    </w:p>
    <w:p>
      <w:pPr>
        <w:pStyle w:val="BodyText"/>
        <w:rPr/>
      </w:pPr>
      <w:r>
        <w:rPr/>
        <w:t>If liability is nevertheless established, total liability shall not exceed the amount actually paid by the user to the Company during the twelve (12) months preceding the event giving rise to the claim.</w:t>
      </w:r>
    </w:p>
    <w:p>
      <w:pPr>
        <w:pStyle w:val="Normal"/>
        <w:rPr/>
      </w:pPr>
      <w:bookmarkStart w:id="10" w:name="limitation-of-liabilit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user-responsibility"/>
      <w:r>
        <w:rPr/>
        <w:t>6. User Responsibility</w:t>
      </w:r>
    </w:p>
    <w:p>
      <w:pPr>
        <w:pStyle w:val="FirstParagraph"/>
        <w:rPr/>
      </w:pPr>
      <w:r>
        <w:rPr/>
        <w:t>Users acknowledge that they remain fully responsible for:</w:t>
      </w:r>
    </w:p>
    <w:p>
      <w:pPr>
        <w:pStyle w:val="Compact"/>
        <w:numPr>
          <w:ilvl w:val="0"/>
          <w:numId w:val="1"/>
        </w:numPr>
        <w:rPr/>
      </w:pPr>
      <w:r>
        <w:rPr/>
        <w:t>All business decisions</w:t>
      </w:r>
    </w:p>
    <w:p>
      <w:pPr>
        <w:pStyle w:val="Compact"/>
        <w:numPr>
          <w:ilvl w:val="0"/>
          <w:numId w:val="1"/>
        </w:numPr>
        <w:rPr/>
      </w:pPr>
      <w:r>
        <w:rPr/>
        <w:t>Management decisions</w:t>
      </w:r>
    </w:p>
    <w:p>
      <w:pPr>
        <w:pStyle w:val="Compact"/>
        <w:numPr>
          <w:ilvl w:val="0"/>
          <w:numId w:val="1"/>
        </w:numPr>
        <w:rPr/>
      </w:pPr>
      <w:r>
        <w:rPr/>
        <w:t>Organizational design decisions</w:t>
      </w:r>
    </w:p>
    <w:p>
      <w:pPr>
        <w:pStyle w:val="Compact"/>
        <w:numPr>
          <w:ilvl w:val="0"/>
          <w:numId w:val="1"/>
        </w:numPr>
        <w:rPr/>
      </w:pPr>
      <w:r>
        <w:rPr/>
        <w:t>Hiring decisions</w:t>
      </w:r>
    </w:p>
    <w:p>
      <w:pPr>
        <w:pStyle w:val="Compact"/>
        <w:numPr>
          <w:ilvl w:val="0"/>
          <w:numId w:val="1"/>
        </w:numPr>
        <w:rPr/>
      </w:pPr>
      <w:r>
        <w:rPr/>
        <w:t>Technology decisions</w:t>
      </w:r>
    </w:p>
    <w:p>
      <w:pPr>
        <w:pStyle w:val="Compact"/>
        <w:numPr>
          <w:ilvl w:val="0"/>
          <w:numId w:val="1"/>
        </w:numPr>
        <w:rPr/>
      </w:pPr>
      <w:r>
        <w:rPr/>
        <w:t>Product decisions</w:t>
      </w:r>
    </w:p>
    <w:p>
      <w:pPr>
        <w:pStyle w:val="Compact"/>
        <w:numPr>
          <w:ilvl w:val="0"/>
          <w:numId w:val="1"/>
        </w:numPr>
        <w:rPr/>
      </w:pPr>
      <w:r>
        <w:rPr/>
        <w:t>Financial decisions</w:t>
      </w:r>
    </w:p>
    <w:p>
      <w:pPr>
        <w:pStyle w:val="Compact"/>
        <w:numPr>
          <w:ilvl w:val="0"/>
          <w:numId w:val="1"/>
        </w:numPr>
        <w:rPr/>
      </w:pPr>
      <w:r>
        <w:rPr/>
        <w:t>Personnel decisions</w:t>
      </w:r>
    </w:p>
    <w:p>
      <w:pPr>
        <w:pStyle w:val="FirstParagraph"/>
        <w:rPr/>
      </w:pPr>
      <w:r>
        <w:rPr/>
        <w:t>The Company shall not be responsible for the consequences of any decisions made by users.</w:t>
      </w:r>
    </w:p>
    <w:p>
      <w:pPr>
        <w:pStyle w:val="Normal"/>
        <w:rPr/>
      </w:pPr>
      <w:bookmarkStart w:id="12" w:name="user-responsibility"/>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intellectual-property"/>
      <w:r>
        <w:rPr/>
        <w:t>7. Intellectual Property</w:t>
      </w:r>
    </w:p>
    <w:p>
      <w:pPr>
        <w:pStyle w:val="FirstParagraph"/>
        <w:rPr/>
      </w:pPr>
      <w:r>
        <w:rPr/>
        <w:t>All content available through the website, including but not limited to:</w:t>
      </w:r>
    </w:p>
    <w:p>
      <w:pPr>
        <w:pStyle w:val="Compact"/>
        <w:numPr>
          <w:ilvl w:val="0"/>
          <w:numId w:val="1"/>
        </w:numPr>
        <w:rPr/>
      </w:pPr>
      <w:r>
        <w:rPr/>
        <w:t>The Push Methodology™</w:t>
      </w:r>
    </w:p>
    <w:p>
      <w:pPr>
        <w:pStyle w:val="Compact"/>
        <w:numPr>
          <w:ilvl w:val="0"/>
          <w:numId w:val="1"/>
        </w:numPr>
        <w:rPr/>
      </w:pPr>
      <w:r>
        <w:rPr/>
        <w:t>Player Trap™</w:t>
      </w:r>
    </w:p>
    <w:p>
      <w:pPr>
        <w:pStyle w:val="Compact"/>
        <w:numPr>
          <w:ilvl w:val="0"/>
          <w:numId w:val="1"/>
        </w:numPr>
        <w:rPr/>
      </w:pPr>
      <w:r>
        <w:rPr/>
        <w:t>Pre-Promoted Leader™</w:t>
      </w:r>
    </w:p>
    <w:p>
      <w:pPr>
        <w:pStyle w:val="Compact"/>
        <w:numPr>
          <w:ilvl w:val="0"/>
          <w:numId w:val="1"/>
        </w:numPr>
        <w:rPr/>
      </w:pPr>
      <w:r>
        <w:rPr/>
        <w:t>Decision Engine™</w:t>
      </w:r>
    </w:p>
    <w:p>
      <w:pPr>
        <w:pStyle w:val="Compact"/>
        <w:numPr>
          <w:ilvl w:val="0"/>
          <w:numId w:val="1"/>
        </w:numPr>
        <w:rPr/>
      </w:pPr>
      <w:r>
        <w:rPr/>
        <w:t>Frameworks</w:t>
      </w:r>
    </w:p>
    <w:p>
      <w:pPr>
        <w:pStyle w:val="Compact"/>
        <w:numPr>
          <w:ilvl w:val="0"/>
          <w:numId w:val="1"/>
        </w:numPr>
        <w:rPr/>
      </w:pPr>
      <w:r>
        <w:rPr/>
        <w:t>Assessments</w:t>
      </w:r>
    </w:p>
    <w:p>
      <w:pPr>
        <w:pStyle w:val="Compact"/>
        <w:numPr>
          <w:ilvl w:val="0"/>
          <w:numId w:val="1"/>
        </w:numPr>
        <w:rPr/>
      </w:pPr>
      <w:r>
        <w:rPr/>
        <w:t>Diagnostic models</w:t>
      </w:r>
    </w:p>
    <w:p>
      <w:pPr>
        <w:pStyle w:val="Compact"/>
        <w:numPr>
          <w:ilvl w:val="0"/>
          <w:numId w:val="1"/>
        </w:numPr>
        <w:rPr/>
      </w:pPr>
      <w:r>
        <w:rPr/>
        <w:t>Written content</w:t>
      </w:r>
    </w:p>
    <w:p>
      <w:pPr>
        <w:pStyle w:val="Compact"/>
        <w:numPr>
          <w:ilvl w:val="0"/>
          <w:numId w:val="1"/>
        </w:numPr>
        <w:rPr/>
      </w:pPr>
      <w:r>
        <w:rPr/>
        <w:t>Visual content</w:t>
      </w:r>
    </w:p>
    <w:p>
      <w:pPr>
        <w:pStyle w:val="Compact"/>
        <w:numPr>
          <w:ilvl w:val="0"/>
          <w:numId w:val="1"/>
        </w:numPr>
        <w:rPr/>
      </w:pPr>
      <w:r>
        <w:rPr/>
        <w:t>Presentations</w:t>
      </w:r>
    </w:p>
    <w:p>
      <w:pPr>
        <w:pStyle w:val="Compact"/>
        <w:numPr>
          <w:ilvl w:val="0"/>
          <w:numId w:val="1"/>
        </w:numPr>
        <w:rPr/>
      </w:pPr>
      <w:r>
        <w:rPr/>
        <w:t>Downloadable materials</w:t>
      </w:r>
    </w:p>
    <w:p>
      <w:pPr>
        <w:pStyle w:val="FirstParagraph"/>
        <w:rPr/>
      </w:pPr>
      <w:r>
        <w:rPr/>
        <w:t>and all related intellectual property rights are owned by the Company or licensed to the Company.</w:t>
      </w:r>
    </w:p>
    <w:p>
      <w:pPr>
        <w:pStyle w:val="BodyText"/>
        <w:rPr/>
      </w:pPr>
      <w:r>
        <w:rPr/>
        <w:t>No content may be copied, reproduced, distributed, modified, published, sold, licensed, reverse engineered, or commercially exploited without prior written consent.</w:t>
      </w:r>
    </w:p>
    <w:p>
      <w:pPr>
        <w:pStyle w:val="Normal"/>
        <w:rPr/>
      </w:pPr>
      <w:bookmarkStart w:id="14" w:name="intellectual-property"/>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third-party-services"/>
      <w:r>
        <w:rPr/>
        <w:t>8. Third-Party Services</w:t>
      </w:r>
    </w:p>
    <w:p>
      <w:pPr>
        <w:pStyle w:val="FirstParagraph"/>
        <w:rPr/>
      </w:pPr>
      <w:r>
        <w:rPr/>
        <w:t>The website may contain links to third-party websites, platforms, software products, scheduling tools, CRM systems, social media platforms, or external resources.</w:t>
      </w:r>
    </w:p>
    <w:p>
      <w:pPr>
        <w:pStyle w:val="BodyText"/>
        <w:rPr/>
      </w:pPr>
      <w:r>
        <w:rPr/>
        <w:t>The Company is not responsible for the content, accuracy, availability, privacy practices, security, or performance of any third-party service.</w:t>
      </w:r>
    </w:p>
    <w:p>
      <w:pPr>
        <w:pStyle w:val="Normal"/>
        <w:rPr/>
      </w:pPr>
      <w:bookmarkStart w:id="16" w:name="third-party-servic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disclaimer-of-warranties"/>
      <w:r>
        <w:rPr/>
        <w:t>9. Disclaimer of Warranties</w:t>
      </w:r>
    </w:p>
    <w:p>
      <w:pPr>
        <w:pStyle w:val="FirstParagraph"/>
        <w:rPr/>
      </w:pPr>
      <w:r>
        <w:rPr/>
        <w:t>The website and all related content and services are provided on an “AS IS” and “AS AVAILABLE” basis.</w:t>
      </w:r>
    </w:p>
    <w:p>
      <w:pPr>
        <w:pStyle w:val="BodyText"/>
        <w:rPr/>
      </w:pPr>
      <w:r>
        <w:rPr/>
        <w:t>The Company expressly disclaims all warranties, whether express, implied, statutory, or otherwise, including warranties of merchantability, fitness for a particular purpose, non-infringement, availability, accuracy, reliability, or uninterrupted operation.</w:t>
      </w:r>
    </w:p>
    <w:p>
      <w:pPr>
        <w:pStyle w:val="Normal"/>
        <w:rPr/>
      </w:pPr>
      <w:bookmarkStart w:id="18" w:name="disclaimer-of-warrantie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indemnification"/>
      <w:r>
        <w:rPr/>
        <w:t>10. Indemnification</w:t>
      </w:r>
    </w:p>
    <w:p>
      <w:pPr>
        <w:pStyle w:val="FirstParagraph"/>
        <w:rPr/>
      </w:pPr>
      <w:r>
        <w:rPr/>
        <w:t>Users agree to defend, indemnify, and hold harmless the Company, its owners, employees, contractors, affiliates, and representatives from any claims, damages, liabilities, losses, costs, or expenses arising from:</w:t>
      </w:r>
    </w:p>
    <w:p>
      <w:pPr>
        <w:pStyle w:val="Compact"/>
        <w:numPr>
          <w:ilvl w:val="0"/>
          <w:numId w:val="1"/>
        </w:numPr>
        <w:rPr/>
      </w:pPr>
      <w:r>
        <w:rPr/>
        <w:t>Violation of these Terms</w:t>
      </w:r>
    </w:p>
    <w:p>
      <w:pPr>
        <w:pStyle w:val="Compact"/>
        <w:numPr>
          <w:ilvl w:val="0"/>
          <w:numId w:val="1"/>
        </w:numPr>
        <w:rPr/>
      </w:pPr>
      <w:r>
        <w:rPr/>
        <w:t>Misuse of the website</w:t>
      </w:r>
    </w:p>
    <w:p>
      <w:pPr>
        <w:pStyle w:val="Compact"/>
        <w:numPr>
          <w:ilvl w:val="0"/>
          <w:numId w:val="1"/>
        </w:numPr>
        <w:rPr/>
      </w:pPr>
      <w:r>
        <w:rPr/>
        <w:t>Misuse of assessments</w:t>
      </w:r>
    </w:p>
    <w:p>
      <w:pPr>
        <w:pStyle w:val="Compact"/>
        <w:numPr>
          <w:ilvl w:val="0"/>
          <w:numId w:val="1"/>
        </w:numPr>
        <w:rPr/>
      </w:pPr>
      <w:r>
        <w:rPr/>
        <w:t>Violation of applicable laws</w:t>
      </w:r>
    </w:p>
    <w:p>
      <w:pPr>
        <w:pStyle w:val="Compact"/>
        <w:numPr>
          <w:ilvl w:val="0"/>
          <w:numId w:val="1"/>
        </w:numPr>
        <w:rPr/>
      </w:pPr>
      <w:r>
        <w:rPr/>
        <w:t>Infringement of third-party rights</w:t>
      </w:r>
    </w:p>
    <w:p>
      <w:pPr>
        <w:pStyle w:val="Normal"/>
        <w:rPr/>
      </w:pPr>
      <w:bookmarkStart w:id="20" w:name="indemnificatio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governing-law-and-jurisdiction"/>
      <w:r>
        <w:rPr/>
        <w:t>11. Governing Law and Jurisdiction</w:t>
      </w:r>
    </w:p>
    <w:p>
      <w:pPr>
        <w:pStyle w:val="FirstParagraph"/>
        <w:rPr/>
      </w:pPr>
      <w:r>
        <w:rPr/>
        <w:t>These Terms shall be governed exclusively by the laws of the State of Israel, without regard to conflict of law principles.</w:t>
      </w:r>
    </w:p>
    <w:p>
      <w:pPr>
        <w:pStyle w:val="BodyText"/>
        <w:rPr/>
      </w:pPr>
      <w:r>
        <w:rPr/>
        <w:t>Any dispute, claim, controversy, or legal proceeding arising from or relating to these Terms, the website, any assessment, coaching service, consultation, content, or related activities shall be brought exclusively before the competent courts located in Tel Aviv, Israel.</w:t>
      </w:r>
    </w:p>
    <w:p>
      <w:pPr>
        <w:pStyle w:val="BodyText"/>
        <w:rPr/>
      </w:pPr>
      <w:r>
        <w:rPr/>
        <w:t>The parties irrevocably submit to the exclusive jurisdiction of such courts.</w:t>
      </w:r>
    </w:p>
    <w:p>
      <w:pPr>
        <w:pStyle w:val="Normal"/>
        <w:rPr/>
      </w:pPr>
      <w:bookmarkStart w:id="22" w:name="governing-law-and-jurisdic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pPr>
      <w:bookmarkStart w:id="23" w:name="modifications"/>
      <w:r>
        <w:rPr/>
        <w:t>12. Modifications</w:t>
      </w:r>
    </w:p>
    <w:p>
      <w:pPr>
        <w:pStyle w:val="FirstParagraph"/>
        <w:rPr/>
      </w:pPr>
      <w:r>
        <w:rPr/>
        <w:t>The Company may update or modify these Terms at any time.</w:t>
      </w:r>
    </w:p>
    <w:p>
      <w:pPr>
        <w:pStyle w:val="BodyText"/>
        <w:rPr/>
      </w:pPr>
      <w:r>
        <w:rPr/>
        <w:t>Continued use of the website or services following publication of updated Terms constitutes acceptance of the revised Terms.</w:t>
      </w:r>
    </w:p>
    <w:p>
      <w:pPr>
        <w:pStyle w:val="Normal"/>
        <w:rPr/>
      </w:pPr>
      <w:bookmarkStart w:id="24" w:name="modificatio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2"/>
        <w:rPr/>
      </w:pPr>
      <w:bookmarkStart w:id="25" w:name="contact-information"/>
      <w:r>
        <w:rPr/>
        <w:t>13. Contact Information</w:t>
      </w:r>
    </w:p>
    <w:p>
      <w:pPr>
        <w:pStyle w:val="FirstParagraph"/>
        <w:rPr/>
      </w:pPr>
      <w:r>
        <w:rPr/>
        <w:t>For questions regarding these Terms, please contact:</w:t>
      </w:r>
    </w:p>
    <w:p>
      <w:pPr>
        <w:pStyle w:val="BodyText"/>
        <w:rPr/>
      </w:pPr>
      <w:r>
        <w:rPr/>
        <w:t>Itay Foyerstein</w:t>
      </w:r>
    </w:p>
    <w:p>
      <w:pPr>
        <w:pStyle w:val="BodyText"/>
        <w:rPr/>
      </w:pPr>
      <w:r>
        <w:rPr/>
        <w:t>Website: https://itayfoyerstein.com</w:t>
      </w:r>
    </w:p>
    <w:p>
      <w:pPr>
        <w:pStyle w:val="BodyText"/>
        <w:spacing w:before="180" w:after="180"/>
        <w:rPr/>
      </w:pPr>
      <w:bookmarkStart w:id="26" w:name="terms-of-use"/>
      <w:bookmarkStart w:id="27" w:name="contact-information"/>
      <w:r>
        <w:rPr/>
        <w:t>Email: contact@itayfoyerstein.com</w:t>
      </w:r>
      <w:bookmarkEnd w:id="26"/>
      <w:bookmarkEnd w:id="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LibreOffice/25.8.7.1$Windows_X86_64 LibreOffice_project/39c3b7ac021cfb9f4ca681457ad36828f90e2ce7</Application>
  <AppVersion>15.0000</AppVersion>
  <Pages>7</Pages>
  <Words>1225</Words>
  <Characters>8040</Characters>
  <CharactersWithSpaces>9062</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2026-06-21T10:04:45Z</dcterms:created>
  <dc:creator/>
  <dc:description/>
  <dc:language>en-US</dc:language>
  <cp:lastModifiedBy/>
  <dcterms:modified xsi:type="dcterms:W3CDTF">2026-06-21T13:06:18Z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