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37147">
      <w:pPr>
        <w:pStyle w:val="31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>产品与服务手册</w:t>
      </w:r>
    </w:p>
    <w:p w14:paraId="770180DF">
      <w:pPr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i/>
          <w:color w:val="auto"/>
        </w:rPr>
        <w:t>星海智联科技有</w:t>
      </w:r>
      <w:bookmarkStart w:id="0" w:name="_GoBack"/>
      <w:bookmarkEnd w:id="0"/>
      <w:r>
        <w:rPr>
          <w:rFonts w:hint="eastAsia" w:ascii="宋体" w:hAnsi="宋体" w:eastAsia="宋体" w:cs="宋体"/>
          <w:i/>
          <w:color w:val="auto"/>
        </w:rPr>
        <w:t>限公司 · RAG 测试知识库样例</w:t>
      </w:r>
    </w:p>
    <w:p w14:paraId="594AA00D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 产品矩阵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2408"/>
        <w:gridCol w:w="2408"/>
        <w:gridCol w:w="2408"/>
      </w:tblGrid>
      <w:tr w14:paraId="46C2D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D9EAF7"/>
          </w:tcPr>
          <w:p w14:paraId="5CE3A250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产品</w:t>
            </w:r>
          </w:p>
        </w:tc>
        <w:tc>
          <w:tcPr>
            <w:tcW w:w="2408" w:type="dxa"/>
            <w:shd w:val="clear" w:color="auto" w:fill="D9EAF7"/>
          </w:tcPr>
          <w:p w14:paraId="020A539E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定位</w:t>
            </w:r>
          </w:p>
        </w:tc>
        <w:tc>
          <w:tcPr>
            <w:tcW w:w="2408" w:type="dxa"/>
            <w:shd w:val="clear" w:color="auto" w:fill="D9EAF7"/>
          </w:tcPr>
          <w:p w14:paraId="69236597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核心能力</w:t>
            </w:r>
          </w:p>
        </w:tc>
        <w:tc>
          <w:tcPr>
            <w:tcW w:w="2408" w:type="dxa"/>
            <w:shd w:val="clear" w:color="auto" w:fill="D9EAF7"/>
          </w:tcPr>
          <w:p w14:paraId="2E127712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典型客户</w:t>
            </w:r>
          </w:p>
        </w:tc>
      </w:tr>
      <w:tr w14:paraId="013CA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52C6778B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XH-Agent Enterprise</w:t>
            </w:r>
          </w:p>
        </w:tc>
        <w:tc>
          <w:tcPr>
            <w:tcW w:w="2408" w:type="dxa"/>
            <w:vAlign w:val="center"/>
          </w:tcPr>
          <w:p w14:paraId="571A61BA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企业智能体平台</w:t>
            </w:r>
          </w:p>
        </w:tc>
        <w:tc>
          <w:tcPr>
            <w:tcW w:w="2408" w:type="dxa"/>
            <w:vAlign w:val="center"/>
          </w:tcPr>
          <w:p w14:paraId="611652E4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知识问答、工具调用、业务任务执行、权限控制</w:t>
            </w:r>
          </w:p>
        </w:tc>
        <w:tc>
          <w:tcPr>
            <w:tcW w:w="2408" w:type="dxa"/>
            <w:vAlign w:val="center"/>
          </w:tcPr>
          <w:p w14:paraId="3E0DF505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中大型企业</w:t>
            </w:r>
          </w:p>
        </w:tc>
      </w:tr>
      <w:tr w14:paraId="42D44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30CD41FC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XH-Knowledge</w:t>
            </w:r>
          </w:p>
        </w:tc>
        <w:tc>
          <w:tcPr>
            <w:tcW w:w="2408" w:type="dxa"/>
            <w:vAlign w:val="center"/>
          </w:tcPr>
          <w:p w14:paraId="30E348CB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企业知识库</w:t>
            </w:r>
          </w:p>
        </w:tc>
        <w:tc>
          <w:tcPr>
            <w:tcW w:w="2408" w:type="dxa"/>
            <w:vAlign w:val="center"/>
          </w:tcPr>
          <w:p w14:paraId="4A656CC4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文档导入、检索、引用、知识空间与权限</w:t>
            </w:r>
          </w:p>
        </w:tc>
        <w:tc>
          <w:tcPr>
            <w:tcW w:w="2408" w:type="dxa"/>
            <w:vAlign w:val="center"/>
          </w:tcPr>
          <w:p w14:paraId="02004505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需要内部知识管理的团队</w:t>
            </w:r>
          </w:p>
        </w:tc>
      </w:tr>
      <w:tr w14:paraId="47161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07494388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XH-DocFlow</w:t>
            </w:r>
          </w:p>
        </w:tc>
        <w:tc>
          <w:tcPr>
            <w:tcW w:w="2408" w:type="dxa"/>
            <w:vAlign w:val="center"/>
          </w:tcPr>
          <w:p w14:paraId="1EBFD4C0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智能文档处理</w:t>
            </w:r>
          </w:p>
        </w:tc>
        <w:tc>
          <w:tcPr>
            <w:tcW w:w="2408" w:type="dxa"/>
            <w:vAlign w:val="center"/>
          </w:tcPr>
          <w:p w14:paraId="01829BCC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文档解析、字段抽取、结构化、审阅与流转</w:t>
            </w:r>
          </w:p>
        </w:tc>
        <w:tc>
          <w:tcPr>
            <w:tcW w:w="2408" w:type="dxa"/>
            <w:vAlign w:val="center"/>
          </w:tcPr>
          <w:p w14:paraId="34B134F7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财务、法务、运营、共享服务中心</w:t>
            </w:r>
          </w:p>
        </w:tc>
      </w:tr>
    </w:tbl>
    <w:p w14:paraId="7981F137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 XH-Agent Enterprise</w:t>
      </w:r>
    </w:p>
    <w:p w14:paraId="09EB6EC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用于构建企业内部智能助手和业务执行 Agent。系统可以基于企业知识回答问题，也可以调用授权工具完成查询、计算、数据处理和流程任务。</w:t>
      </w:r>
    </w:p>
    <w:p w14:paraId="03D1D6B2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2.1 核心能力</w:t>
      </w:r>
    </w:p>
    <w:p w14:paraId="5E0DD285">
      <w:pPr>
        <w:pStyle w:val="16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企业知识问答：基于授权知识库检索证据并生成回答。</w:t>
      </w:r>
    </w:p>
    <w:p w14:paraId="0D75A5AF">
      <w:pPr>
        <w:pStyle w:val="16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工具调用：支持将数据库、业务系统、搜索、计算、邮件、日历等能力封装为工具。</w:t>
      </w:r>
    </w:p>
    <w:p w14:paraId="335E8982">
      <w:pPr>
        <w:pStyle w:val="16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结构化输出：适合生成表单、JSON、业务字段和标准报告。</w:t>
      </w:r>
    </w:p>
    <w:p w14:paraId="101C935E">
      <w:pPr>
        <w:pStyle w:val="16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会话上下文：支持多轮任务中的上下文保持。</w:t>
      </w:r>
    </w:p>
    <w:p w14:paraId="41FEF94E">
      <w:pPr>
        <w:pStyle w:val="16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权限与审计：可根据用户、角色、部门限制知识与工具访问。</w:t>
      </w:r>
    </w:p>
    <w:p w14:paraId="0522798B">
      <w:pPr>
        <w:pStyle w:val="16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人工确认：发送、删除、审批、修改核心业务数据等高风险动作建议进行 Human-in-the-loop。</w:t>
      </w:r>
    </w:p>
    <w:p w14:paraId="52EA5F33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2.2 部署方式</w:t>
      </w:r>
    </w:p>
    <w:p w14:paraId="61D7D2BD">
      <w:pPr>
        <w:pStyle w:val="16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公有云 SaaS</w:t>
      </w:r>
    </w:p>
    <w:p w14:paraId="7396A8A1">
      <w:pPr>
        <w:pStyle w:val="16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专属云</w:t>
      </w:r>
    </w:p>
    <w:p w14:paraId="0977B9B7">
      <w:pPr>
        <w:pStyle w:val="16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本地私有化部署</w:t>
      </w:r>
    </w:p>
    <w:p w14:paraId="21A65B67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2.3 版本说明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2408"/>
        <w:gridCol w:w="2408"/>
        <w:gridCol w:w="2408"/>
      </w:tblGrid>
      <w:tr w14:paraId="77AB06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  <w:shd w:val="clear" w:color="auto" w:fill="E2F0D9"/>
          </w:tcPr>
          <w:p w14:paraId="069B36CB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版本</w:t>
            </w:r>
          </w:p>
        </w:tc>
        <w:tc>
          <w:tcPr>
            <w:tcW w:w="2408" w:type="dxa"/>
            <w:shd w:val="clear" w:color="auto" w:fill="E2F0D9"/>
          </w:tcPr>
          <w:p w14:paraId="0ECD95F4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适用规模</w:t>
            </w:r>
          </w:p>
        </w:tc>
        <w:tc>
          <w:tcPr>
            <w:tcW w:w="2408" w:type="dxa"/>
            <w:shd w:val="clear" w:color="auto" w:fill="E2F0D9"/>
          </w:tcPr>
          <w:p w14:paraId="1AA745BC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主要能力</w:t>
            </w:r>
          </w:p>
        </w:tc>
        <w:tc>
          <w:tcPr>
            <w:tcW w:w="2408" w:type="dxa"/>
            <w:shd w:val="clear" w:color="auto" w:fill="E2F0D9"/>
          </w:tcPr>
          <w:p w14:paraId="0A40A065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支持级别</w:t>
            </w:r>
          </w:p>
        </w:tc>
      </w:tr>
      <w:tr w14:paraId="35E9C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</w:tcPr>
          <w:p w14:paraId="4BAD457D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团队版</w:t>
            </w:r>
          </w:p>
        </w:tc>
        <w:tc>
          <w:tcPr>
            <w:tcW w:w="2408" w:type="dxa"/>
          </w:tcPr>
          <w:p w14:paraId="5BAA7B47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20-100 人</w:t>
            </w:r>
          </w:p>
        </w:tc>
        <w:tc>
          <w:tcPr>
            <w:tcW w:w="2408" w:type="dxa"/>
          </w:tcPr>
          <w:p w14:paraId="6D2FDB22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基础 Agent、知识库、常用工具</w:t>
            </w:r>
          </w:p>
        </w:tc>
        <w:tc>
          <w:tcPr>
            <w:tcW w:w="2408" w:type="dxa"/>
          </w:tcPr>
          <w:p w14:paraId="02B5C2B1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工作日支持</w:t>
            </w:r>
          </w:p>
        </w:tc>
      </w:tr>
      <w:tr w14:paraId="688519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</w:tcPr>
          <w:p w14:paraId="1CC538F3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企业版</w:t>
            </w:r>
          </w:p>
        </w:tc>
        <w:tc>
          <w:tcPr>
            <w:tcW w:w="2408" w:type="dxa"/>
          </w:tcPr>
          <w:p w14:paraId="7F2E1C6D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100-1000 人</w:t>
            </w:r>
          </w:p>
        </w:tc>
        <w:tc>
          <w:tcPr>
            <w:tcW w:w="2408" w:type="dxa"/>
          </w:tcPr>
          <w:p w14:paraId="0CF32024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权限、审计、企业工具集成、多知识空间</w:t>
            </w:r>
          </w:p>
        </w:tc>
        <w:tc>
          <w:tcPr>
            <w:tcW w:w="2408" w:type="dxa"/>
          </w:tcPr>
          <w:p w14:paraId="40F2749C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工作日支持，4小时首次响应</w:t>
            </w:r>
          </w:p>
        </w:tc>
      </w:tr>
      <w:tr w14:paraId="15345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8" w:type="dxa"/>
          </w:tcPr>
          <w:p w14:paraId="3725468F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旗舰版</w:t>
            </w:r>
          </w:p>
        </w:tc>
        <w:tc>
          <w:tcPr>
            <w:tcW w:w="2408" w:type="dxa"/>
          </w:tcPr>
          <w:p w14:paraId="28695BAA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1000 人以上</w:t>
            </w:r>
          </w:p>
        </w:tc>
        <w:tc>
          <w:tcPr>
            <w:tcW w:w="2408" w:type="dxa"/>
          </w:tcPr>
          <w:p w14:paraId="368E3DE7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高级权限、复杂工作流、专属支持</w:t>
            </w:r>
          </w:p>
        </w:tc>
        <w:tc>
          <w:tcPr>
            <w:tcW w:w="2408" w:type="dxa"/>
          </w:tcPr>
          <w:p w14:paraId="18B7D366">
            <w:pPr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7×24 P1，30分钟首次响应</w:t>
            </w:r>
          </w:p>
        </w:tc>
      </w:tr>
    </w:tbl>
    <w:p w14:paraId="42D42658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 XH-Knowledge</w:t>
      </w:r>
    </w:p>
    <w:p w14:paraId="2CF642F4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面向企业内部知识管理与检索增强生成（RAG）场景。</w:t>
      </w:r>
    </w:p>
    <w:p w14:paraId="22D53E88">
      <w:pPr>
        <w:pStyle w:val="16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 PDF、Word、Excel、PowerPoint、TXT、Markdown、HTML 等常见格式。</w:t>
      </w:r>
    </w:p>
    <w:p w14:paraId="4D57D607">
      <w:pPr>
        <w:pStyle w:val="16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支持文档分段、元数据、向量检索、关键词检索、结果重排和来源引用。</w:t>
      </w:r>
    </w:p>
    <w:p w14:paraId="341F606F">
      <w:pPr>
        <w:pStyle w:val="16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支持按知识空间、部门、角色和用户划分访问权限。</w:t>
      </w:r>
    </w:p>
    <w:p w14:paraId="190DFEA0">
      <w:pPr>
        <w:pStyle w:val="16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标准企业版默认包含 50 GB 知识库存储空间。</w:t>
      </w:r>
    </w:p>
    <w:p w14:paraId="0778FF40">
      <w:pPr>
        <w:pStyle w:val="16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典型用途包括制度问答、产品知识、售后知识、研发文档和销售资料。</w:t>
      </w:r>
    </w:p>
    <w:p w14:paraId="192BAEA1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4. XH-DocFlow</w:t>
      </w:r>
    </w:p>
    <w:p w14:paraId="64E5195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用于处理格式复杂、字段密集的企业文档，减少人工录入和审阅工作。</w:t>
      </w:r>
    </w:p>
    <w:p w14:paraId="5D939CAF">
      <w:pPr>
        <w:pStyle w:val="16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合同信息抽取与条款摘要</w:t>
      </w:r>
    </w:p>
    <w:p w14:paraId="319F144B">
      <w:pPr>
        <w:pStyle w:val="16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发票与费用单据字段识别</w:t>
      </w:r>
    </w:p>
    <w:p w14:paraId="7289C737">
      <w:pPr>
        <w:pStyle w:val="16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Excel/表格结构化抽取</w:t>
      </w:r>
    </w:p>
    <w:p w14:paraId="2D7002D7">
      <w:pPr>
        <w:pStyle w:val="16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报告摘要与差异对比</w:t>
      </w:r>
    </w:p>
    <w:p w14:paraId="179A39A2">
      <w:pPr>
        <w:pStyle w:val="16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文档分类、路由和审批前预处理</w:t>
      </w:r>
    </w:p>
    <w:p w14:paraId="5FFCCF81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5. 典型交付流程</w:t>
      </w:r>
    </w:p>
    <w:p w14:paraId="3E5FB858">
      <w:pPr>
        <w:pStyle w:val="1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需求调研：明确用户、数据来源、业务目标和权限边界。</w:t>
      </w:r>
    </w:p>
    <w:p w14:paraId="5D4D75CE">
      <w:pPr>
        <w:pStyle w:val="1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PoC：选择代表性场景和样例数据进行 2-4 周验证。</w:t>
      </w:r>
    </w:p>
    <w:p w14:paraId="587D0444">
      <w:pPr>
        <w:pStyle w:val="1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方案设计：确定知识、工具、业务流程、权限和评估指标。</w:t>
      </w:r>
    </w:p>
    <w:p w14:paraId="44F75AB6">
      <w:pPr>
        <w:pStyle w:val="1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实施集成：接入企业数据与业务系统。</w:t>
      </w:r>
    </w:p>
    <w:p w14:paraId="52592BC2">
      <w:pPr>
        <w:pStyle w:val="1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测试验收：评估答案准确率、检索质量、工具成功率和任务完成率。</w:t>
      </w:r>
    </w:p>
    <w:p w14:paraId="26DE7B2F">
      <w:pPr>
        <w:pStyle w:val="1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上线运营：监控使用情况、错误、成本和用户反馈。</w:t>
      </w:r>
    </w:p>
    <w:p w14:paraId="0C6A0671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6. 服务边界</w:t>
      </w:r>
    </w:p>
    <w:p w14:paraId="450BE933">
      <w:pPr>
        <w:pStyle w:val="16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Agent 生成内容应作为辅助信息，关键业务决策由授权人员最终确认。</w:t>
      </w:r>
    </w:p>
    <w:p w14:paraId="0BC95B95">
      <w:pPr>
        <w:pStyle w:val="16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未经授权不得跨部门访问受限知识或调用受限工具。</w:t>
      </w:r>
    </w:p>
    <w:p w14:paraId="01E0857A">
      <w:pPr>
        <w:pStyle w:val="16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涉及外部发送、删除、付款、审批和客户主数据修改等操作，应保留审计记录。</w:t>
      </w:r>
    </w:p>
    <w:p w14:paraId="2E9690EF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文档版本：V1.2（RAG Demo）</w:t>
      </w:r>
    </w:p>
    <w:sectPr>
      <w:pgSz w:w="12240" w:h="15840"/>
      <w:pgMar w:top="1247" w:right="1304" w:bottom="1247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Noto Sans">
    <w:panose1 w:val="020B0502040504020204"/>
    <w:charset w:val="00"/>
    <w:family w:val="auto"/>
    <w:pitch w:val="default"/>
    <w:sig w:usb0="E00002FF" w:usb1="4000001F" w:usb2="08000029" w:usb3="001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88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1006</Words>
  <Characters>1197</Characters>
  <Lines>0</Lines>
  <Paragraphs>0</Paragraphs>
  <TotalTime>0</TotalTime>
  <ScaleCrop>false</ScaleCrop>
  <LinksUpToDate>false</LinksUpToDate>
  <CharactersWithSpaces>1228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笨ッ单纯わ</cp:lastModifiedBy>
  <dcterms:modified xsi:type="dcterms:W3CDTF">2026-08-12T03:01:03Z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eyJoZGlkIjoiZTlmYmZiN2U4NTNmMDAyNTRmMDBkYTkzZmMzNDViOTkiLCJ1c2VySWQiOiI4Mzc5ODI2MDUifQ==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BE02AD4B6A67449CB5FB3E0138345421_12</vt:lpwstr>
  </property>
</Properties>
</file>