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spacing w:after="90" w:before="9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Отчёт по сравнению СУБД</w:t>
      </w:r>
    </w:p>
    <w:p w14:paraId="02000000">
      <w:pPr>
        <w:spacing w:after="134" w:before="134"/>
        <w:ind w:firstLine="0" w:left="0" w:right="0"/>
      </w:pPr>
      <w:r>
        <w:rPr>
          <w:b w:val="1"/>
        </w:rPr>
        <w:t>Студент:</w:t>
      </w:r>
      <w:r>
        <w:t xml:space="preserve"> Яхъё(крутой типок)</w:t>
      </w:r>
      <w:r>
        <w:br/>
      </w:r>
      <w:r>
        <w:rPr>
          <w:b w:val="1"/>
        </w:rPr>
        <w:t>Дата:</w:t>
      </w:r>
      <w:r>
        <w:t xml:space="preserve"> 14 ноября 2025 г.</w:t>
      </w:r>
    </w:p>
    <w:p w14:paraId="03000000">
      <w:pPr>
        <w:spacing w:after="120" w:before="120"/>
        <w:ind w:firstLine="0" w:left="120" w:right="120"/>
      </w:pPr>
    </w:p>
    <w:p w14:paraId="04000000">
      <w:pPr>
        <w:spacing w:after="100" w:before="100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Выбранные СУБД:</w:t>
      </w:r>
    </w:p>
    <w:p w14:paraId="05000000">
      <w:pPr>
        <w:numPr>
          <w:ilvl w:val="0"/>
          <w:numId w:val="1"/>
        </w:numPr>
      </w:pPr>
      <w:r>
        <w:rPr>
          <w:b w:val="1"/>
        </w:rPr>
        <w:t>PostgreSQL</w:t>
      </w:r>
      <w:r>
        <w:t xml:space="preserve"> — реляционная СУБД (SQL)</w:t>
      </w:r>
    </w:p>
    <w:p w14:paraId="06000000">
      <w:pPr>
        <w:numPr>
          <w:ilvl w:val="0"/>
          <w:numId w:val="1"/>
        </w:numPr>
      </w:pPr>
      <w:r>
        <w:rPr>
          <w:b w:val="1"/>
        </w:rPr>
        <w:t>MongoDB</w:t>
      </w:r>
      <w:r>
        <w:t xml:space="preserve"> — документо-ориентированная СУБД (NoSQL)</w:t>
      </w:r>
    </w:p>
    <w:p w14:paraId="07000000">
      <w:pPr>
        <w:spacing w:after="120" w:before="120"/>
        <w:ind w:firstLine="0" w:left="120" w:right="120"/>
      </w:pPr>
    </w:p>
    <w:p w14:paraId="08000000">
      <w:pPr>
        <w:spacing w:after="120" w:before="120"/>
        <w:ind w:firstLine="0" w:left="120" w:right="120"/>
      </w:pPr>
    </w:p>
    <w:p w14:paraId="09000000">
      <w:pPr>
        <w:spacing w:after="120" w:before="120"/>
        <w:ind w:firstLine="0" w:left="120" w:right="120"/>
      </w:pPr>
    </w:p>
    <w:p w14:paraId="0A000000">
      <w:pPr>
        <w:spacing w:after="90" w:before="9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Анализ каждой СУБД</w:t>
      </w:r>
    </w:p>
    <w:p w14:paraId="0B000000">
      <w:pPr>
        <w:spacing w:after="100" w:before="100"/>
        <w:ind w:firstLine="0" w:left="0" w:right="0"/>
        <w:rPr>
          <w:b w:val="1"/>
          <w:sz w:val="28"/>
        </w:rPr>
      </w:pPr>
      <w:r>
        <w:rPr>
          <w:b w:val="1"/>
          <w:sz w:val="28"/>
        </w:rPr>
        <w:t>1. PostgreSQL</w:t>
      </w:r>
    </w:p>
    <w:p w14:paraId="0C000000">
      <w:pPr>
        <w:numPr>
          <w:ilvl w:val="0"/>
          <w:numId w:val="2"/>
        </w:numPr>
      </w:pPr>
      <w:r>
        <w:rPr>
          <w:b w:val="1"/>
        </w:rPr>
        <w:t>Категория</w:t>
      </w:r>
      <w:r>
        <w:t>: Реляционная (SQL).</w:t>
      </w:r>
    </w:p>
    <w:p w14:paraId="0D000000">
      <w:pPr>
        <w:numPr>
          <w:ilvl w:val="0"/>
          <w:numId w:val="2"/>
        </w:numPr>
      </w:pPr>
      <w:r>
        <w:rPr>
          <w:b w:val="1"/>
        </w:rPr>
        <w:t>Преимущества</w:t>
      </w:r>
      <w:r>
        <w:t>:</w:t>
      </w:r>
    </w:p>
    <w:p w14:paraId="0E000000">
      <w:pPr>
        <w:numPr>
          <w:ilvl w:val="1"/>
          <w:numId w:val="3"/>
        </w:numPr>
      </w:pPr>
      <w:r>
        <w:t>Полная поддержка ACID — данные всегда согласованы.</w:t>
      </w:r>
    </w:p>
    <w:p w14:paraId="0F000000">
      <w:pPr>
        <w:numPr>
          <w:ilvl w:val="1"/>
          <w:numId w:val="3"/>
        </w:numPr>
      </w:pPr>
      <w:r>
        <w:t>Мощный SQL: JOIN, подзапросы, оконные функции.</w:t>
      </w:r>
    </w:p>
    <w:p w14:paraId="10000000">
      <w:pPr>
        <w:numPr>
          <w:ilvl w:val="1"/>
          <w:numId w:val="3"/>
        </w:numPr>
      </w:pPr>
      <w:r>
        <w:t>Поддержка JSON/JSONB — позволяет частично работать с гибкими данными.</w:t>
      </w:r>
    </w:p>
    <w:p w14:paraId="11000000">
      <w:pPr>
        <w:numPr>
          <w:ilvl w:val="1"/>
          <w:numId w:val="3"/>
        </w:numPr>
      </w:pPr>
      <w:r>
        <w:t>Бесплатная и с открытым исходным кодом.</w:t>
      </w:r>
    </w:p>
    <w:p w14:paraId="12000000">
      <w:pPr>
        <w:numPr>
          <w:ilvl w:val="0"/>
          <w:numId w:val="2"/>
        </w:numPr>
      </w:pPr>
      <w:r>
        <w:rPr>
          <w:b w:val="1"/>
        </w:rPr>
        <w:t>Недостатки</w:t>
      </w:r>
      <w:r>
        <w:t>:</w:t>
      </w:r>
    </w:p>
    <w:p w14:paraId="13000000">
      <w:pPr>
        <w:numPr>
          <w:ilvl w:val="1"/>
          <w:numId w:val="4"/>
        </w:numPr>
      </w:pPr>
      <w:r>
        <w:t>Менее гибкая схема: при изменении структуры требуются миграции.</w:t>
      </w:r>
    </w:p>
    <w:p w14:paraId="14000000">
      <w:pPr>
        <w:numPr>
          <w:ilvl w:val="1"/>
          <w:numId w:val="4"/>
        </w:numPr>
      </w:pPr>
      <w:r>
        <w:t>Вертикальное масштабирование сложнее, чем горизонтальное в NoSQL.</w:t>
      </w:r>
    </w:p>
    <w:p w14:paraId="15000000">
      <w:pPr>
        <w:numPr>
          <w:ilvl w:val="0"/>
          <w:numId w:val="2"/>
        </w:numPr>
      </w:pPr>
      <w:r>
        <w:rPr>
          <w:b w:val="1"/>
        </w:rPr>
        <w:t>Эффективна в</w:t>
      </w:r>
      <w:r>
        <w:t>: системах с чёткой структурой и важными отношениями между данными (например, интернет-магазины, банковские приложения).</w:t>
      </w:r>
    </w:p>
    <w:p w14:paraId="16000000">
      <w:pPr>
        <w:numPr>
          <w:ilvl w:val="0"/>
          <w:numId w:val="2"/>
        </w:numPr>
      </w:pPr>
      <w:r>
        <w:rPr>
          <w:b w:val="1"/>
        </w:rPr>
        <w:t>Кто использует</w:t>
      </w:r>
      <w:r>
        <w:t>: Instagram, Spotify, Yandex.</w:t>
      </w:r>
    </w:p>
    <w:p w14:paraId="17000000">
      <w:pPr>
        <w:spacing w:after="120" w:before="120"/>
        <w:ind w:firstLine="0" w:left="120" w:right="120"/>
      </w:pPr>
    </w:p>
    <w:p w14:paraId="18000000">
      <w:pPr>
        <w:spacing w:after="120" w:before="120"/>
        <w:ind w:firstLine="0" w:left="120" w:right="120"/>
      </w:pPr>
    </w:p>
    <w:p w14:paraId="19000000">
      <w:pPr>
        <w:spacing w:after="120" w:before="120"/>
        <w:ind w:firstLine="0" w:left="120" w:right="120"/>
      </w:pPr>
    </w:p>
    <w:p w14:paraId="1A000000">
      <w:pPr>
        <w:spacing w:after="100" w:before="100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 MongoDB</w:t>
      </w:r>
    </w:p>
    <w:p w14:paraId="1B000000">
      <w:pPr>
        <w:numPr>
          <w:ilvl w:val="0"/>
          <w:numId w:val="5"/>
        </w:numPr>
      </w:pPr>
      <w:r>
        <w:rPr>
          <w:b w:val="1"/>
        </w:rPr>
        <w:t>Категория</w:t>
      </w:r>
      <w:r>
        <w:t>: Документо-ориентированная (NoSQL).</w:t>
      </w:r>
    </w:p>
    <w:p w14:paraId="1C000000">
      <w:pPr>
        <w:numPr>
          <w:ilvl w:val="0"/>
          <w:numId w:val="5"/>
        </w:numPr>
      </w:pPr>
      <w:r>
        <w:rPr>
          <w:b w:val="1"/>
        </w:rPr>
        <w:t>Преимущества</w:t>
      </w:r>
      <w:r>
        <w:t>:</w:t>
      </w:r>
    </w:p>
    <w:p w14:paraId="1D000000">
      <w:pPr>
        <w:numPr>
          <w:ilvl w:val="1"/>
          <w:numId w:val="6"/>
        </w:numPr>
      </w:pPr>
      <w:r>
        <w:t>Гибкая схема: каждый документ может отличаться.</w:t>
      </w:r>
    </w:p>
    <w:p w14:paraId="1E000000">
      <w:pPr>
        <w:numPr>
          <w:ilvl w:val="1"/>
          <w:numId w:val="6"/>
        </w:numPr>
      </w:pPr>
      <w:r>
        <w:t>Легко масштабируется по горизонтали (sharding).</w:t>
      </w:r>
    </w:p>
    <w:p w14:paraId="1F000000">
      <w:pPr>
        <w:numPr>
          <w:ilvl w:val="1"/>
          <w:numId w:val="6"/>
        </w:numPr>
      </w:pPr>
      <w:r>
        <w:t>Высокая скорость записи и чтения при работе с большими объёмами данных.</w:t>
      </w:r>
    </w:p>
    <w:p w14:paraId="20000000">
      <w:pPr>
        <w:numPr>
          <w:ilvl w:val="0"/>
          <w:numId w:val="5"/>
        </w:numPr>
      </w:pPr>
      <w:r>
        <w:rPr>
          <w:b w:val="1"/>
        </w:rPr>
        <w:t>Недостатки</w:t>
      </w:r>
      <w:r>
        <w:t>:</w:t>
      </w:r>
    </w:p>
    <w:p w14:paraId="21000000">
      <w:pPr>
        <w:numPr>
          <w:ilvl w:val="1"/>
          <w:numId w:val="7"/>
        </w:numPr>
      </w:pPr>
      <w:r>
        <w:t>Ограниченная поддержка транзакций (есть, но сложнее и медленнее).</w:t>
      </w:r>
    </w:p>
    <w:p w14:paraId="22000000">
      <w:pPr>
        <w:numPr>
          <w:ilvl w:val="1"/>
          <w:numId w:val="7"/>
        </w:numPr>
      </w:pPr>
      <w:r>
        <w:t>Нет встроенных JOIN — связи между коллекциями реализуются вручную или дублированием данных.</w:t>
      </w:r>
    </w:p>
    <w:p w14:paraId="23000000">
      <w:pPr>
        <w:numPr>
          <w:ilvl w:val="0"/>
          <w:numId w:val="5"/>
        </w:numPr>
      </w:pPr>
      <w:r>
        <w:rPr>
          <w:b w:val="1"/>
        </w:rPr>
        <w:t>Эффективна в</w:t>
      </w:r>
      <w:r>
        <w:t>: системах с быстро меняющимися данными, где важна скорость и масштабируемость (например, логи, пользовательские профили, аналитика).</w:t>
      </w:r>
    </w:p>
    <w:p w14:paraId="24000000">
      <w:pPr>
        <w:numPr>
          <w:ilvl w:val="0"/>
          <w:numId w:val="5"/>
        </w:numPr>
      </w:pPr>
      <w:r>
        <w:rPr>
          <w:b w:val="1"/>
        </w:rPr>
        <w:t>Кто использует</w:t>
      </w:r>
      <w:r>
        <w:t>: Facebook (часть сервисов), Adobe, eBay, Uber (в отдельных компонентах).</w:t>
      </w:r>
    </w:p>
    <w:p w14:paraId="25000000">
      <w:pPr>
        <w:numPr>
          <w:ilvl w:val="0"/>
          <w:numId w:val="5"/>
        </w:numPr>
        <w:rPr>
          <w:b w:val="1"/>
          <w:sz w:val="40"/>
        </w:rPr>
      </w:pPr>
      <w:r>
        <w:rPr>
          <w:b w:val="1"/>
          <w:sz w:val="40"/>
        </w:rPr>
        <w:t>Сравнительная таблица:</w:t>
      </w:r>
    </w:p>
    <w:p w14:paraId="26000000">
      <w:pPr>
        <w:numPr>
          <w:ilvl w:val="0"/>
          <w:numId w:val="5"/>
        </w:numPr>
      </w:pPr>
      <w:r>
        <w:drawing>
          <wp:inline>
            <wp:extent cx="6481572" cy="1976504"/>
            <wp:docPr id="2" name="Picture 2"/>
            <a:graphic>
              <a:graphicData uri="http://schemas.openxmlformats.org/drawingml/2006/picture">
                <pic:pic>
                  <pic:nvPicPr>
                    <pic:cNvPr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481572" cy="19765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00000">
      <w:pPr>
        <w:spacing w:after="90" w:before="9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Вывод: выбор СУБД для гипотетических проектов</w:t>
      </w:r>
    </w:p>
    <w:p w14:paraId="28000000">
      <w:pPr>
        <w:numPr>
          <w:ilvl w:val="0"/>
          <w:numId w:val="8"/>
        </w:numPr>
        <w:spacing w:after="151" w:before="151"/>
        <w:ind w:firstLine="0" w:left="0" w:right="0"/>
      </w:pPr>
      <w:r>
        <w:rPr>
          <w:b w:val="1"/>
        </w:rPr>
        <w:t>Онлайн-магазин с каталогом товаров, заказами и пользователями</w:t>
      </w:r>
      <w:r>
        <w:br/>
      </w:r>
      <w:r>
        <w:t xml:space="preserve">=&gt; </w:t>
      </w:r>
      <w:r>
        <w:rPr>
          <w:b w:val="1"/>
        </w:rPr>
        <w:t>PostgreSQL</w:t>
      </w:r>
      <w:r>
        <w:br/>
      </w:r>
      <w:r>
        <w:rPr>
          <w:b w:val="1"/>
        </w:rPr>
        <w:t>Почему</w:t>
      </w:r>
      <w:r>
        <w:t>: В магазине важны связи между пользователями, товарами и заказами, а также целостность данных (например, нельзя создать заказ без оплаты). ACID и поддержка JOIN в PostgreSQL идеально подходят.</w:t>
      </w:r>
    </w:p>
    <w:p w14:paraId="29000000">
      <w:pPr>
        <w:numPr>
          <w:ilvl w:val="0"/>
          <w:numId w:val="8"/>
        </w:numPr>
        <w:spacing w:after="151" w:before="151"/>
        <w:ind w:firstLine="0" w:left="0" w:right="0"/>
      </w:pPr>
      <w:r>
        <w:rPr>
          <w:b w:val="1"/>
        </w:rPr>
        <w:t>Система для хранения логов высоконагруженного сервиса</w:t>
      </w:r>
      <w:r>
        <w:br/>
      </w:r>
      <w:r>
        <w:t xml:space="preserve">=&gt; </w:t>
      </w:r>
      <w:r>
        <w:rPr>
          <w:b w:val="1"/>
        </w:rPr>
        <w:t>MongoDB</w:t>
      </w:r>
      <w:r>
        <w:br/>
      </w:r>
      <w:r>
        <w:rPr>
          <w:b w:val="1"/>
        </w:rPr>
        <w:t>Почему</w:t>
      </w:r>
      <w:r>
        <w:t>: Логи часто имеют разную структуру, поступают быстро и в большом объёме. MongoDB легко принимает такие данные без строгой схемы и масштабируется под нагрузку.</w:t>
      </w:r>
    </w:p>
    <w:p w14:paraId="2A000000">
      <w:pPr>
        <w:numPr>
          <w:ilvl w:val="0"/>
          <w:numId w:val="8"/>
        </w:numPr>
        <w:spacing w:after="151" w:before="151"/>
        <w:ind w:firstLine="0" w:left="0" w:right="0"/>
      </w:pPr>
      <w:r>
        <w:rPr>
          <w:b w:val="1"/>
        </w:rPr>
        <w:t>Социальная сеть с большим количеством связей между пользователями</w:t>
      </w:r>
      <w:r>
        <w:br/>
      </w:r>
      <w:r>
        <w:t xml:space="preserve">=&gt; </w:t>
      </w:r>
      <w:r>
        <w:rPr>
          <w:b w:val="1"/>
        </w:rPr>
        <w:t>PostgreSQL</w:t>
      </w:r>
      <w:r>
        <w:t xml:space="preserve"> </w:t>
      </w:r>
      <w:r>
        <w:rPr>
          <w:i w:val="1"/>
        </w:rPr>
        <w:t>(с оговоркой)</w:t>
      </w:r>
      <w:r>
        <w:br/>
      </w:r>
      <w:r>
        <w:rPr>
          <w:b w:val="1"/>
        </w:rPr>
        <w:t>Почему</w:t>
      </w:r>
      <w:r>
        <w:t>: Хотя связи между пользователями (друзья, подписки) могут быть сложными, PostgreSQL поддерживает рекурсивные запросы и внешние ключи. Однако в очень больших масштабах некоторые компании используют гибрид: PostgreSQL + графовую или документную БД. Но для учебного проекта или MVP — PostgreSQL надёжнее и проще в поддержке.</w:t>
      </w:r>
    </w:p>
    <w:p w14:paraId="2B000000">
      <w:pPr>
        <w:spacing w:after="120" w:before="120"/>
        <w:ind w:firstLine="0" w:left="-589" w:right="120"/>
      </w:pPr>
    </w:p>
    <w:p w14:paraId="2C000000">
      <w:pPr>
        <w:spacing w:after="120" w:before="120"/>
        <w:ind w:firstLine="0" w:left="120" w:right="120"/>
      </w:pPr>
    </w:p>
    <w:p w14:paraId="2D000000">
      <w:pPr>
        <w:spacing w:after="134" w:before="134"/>
        <w:ind w:firstLine="0" w:left="0" w:right="0"/>
      </w:pPr>
      <w:r>
        <w:rPr>
          <w:b w:val="1"/>
        </w:rPr>
        <w:t>Общий итог</w:t>
      </w:r>
      <w:r>
        <w:t>:</w:t>
      </w:r>
    </w:p>
    <w:p w14:paraId="2E000000">
      <w:pPr>
        <w:numPr>
          <w:ilvl w:val="0"/>
          <w:numId w:val="9"/>
        </w:numPr>
      </w:pPr>
      <w:r>
        <w:t xml:space="preserve">Используйте </w:t>
      </w:r>
      <w:r>
        <w:rPr>
          <w:b w:val="1"/>
        </w:rPr>
        <w:t>PostgreSQL</w:t>
      </w:r>
      <w:r>
        <w:t>, когда важна целостность, связи и надёжность.</w:t>
      </w:r>
    </w:p>
    <w:p w14:paraId="2F000000">
      <w:pPr>
        <w:numPr>
          <w:ilvl w:val="0"/>
          <w:numId w:val="9"/>
        </w:numPr>
      </w:pPr>
      <w:r>
        <w:t xml:space="preserve">Используйте </w:t>
      </w:r>
      <w:r>
        <w:rPr>
          <w:b w:val="1"/>
        </w:rPr>
        <w:t>MongoDB</w:t>
      </w:r>
      <w:r>
        <w:t>, когда важна скорость, гибкость и масштабируемость при работе с полуструктурированными данными.</w:t>
      </w:r>
    </w:p>
    <w:p w14:paraId="30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toc 4"/>
    <w:next w:val="Style_1"/>
    <w:link w:val="Style_3_ch"/>
    <w:uiPriority w:val="39"/>
    <w:pPr>
      <w:ind w:firstLine="0" w:left="600"/>
    </w:pPr>
  </w:style>
  <w:style w:styleId="Style_3_ch" w:type="character">
    <w:name w:val="toc 4"/>
    <w:link w:val="Style_3"/>
  </w:style>
  <w:style w:styleId="Style_4" w:type="paragraph">
    <w:name w:val="toc 6"/>
    <w:next w:val="Style_1"/>
    <w:link w:val="Style_4_ch"/>
    <w:uiPriority w:val="39"/>
    <w:pPr>
      <w:ind w:firstLine="0" w:left="1000"/>
    </w:pPr>
  </w:style>
  <w:style w:styleId="Style_4_ch" w:type="character">
    <w:name w:val="toc 6"/>
    <w:link w:val="Style_4"/>
  </w:style>
  <w:style w:styleId="Style_5" w:type="paragraph">
    <w:name w:val="toc 7"/>
    <w:next w:val="Style_1"/>
    <w:link w:val="Style_5_ch"/>
    <w:uiPriority w:val="39"/>
    <w:pPr>
      <w:ind w:firstLine="0" w:left="1200"/>
    </w:pPr>
  </w:style>
  <w:style w:styleId="Style_5_ch" w:type="character">
    <w:name w:val="toc 7"/>
    <w:link w:val="Style_5"/>
  </w:style>
  <w:style w:styleId="Style_6" w:type="paragraph">
    <w:name w:val="heading 3"/>
    <w:next w:val="Style_1"/>
    <w:link w:val="Style_6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6_ch" w:type="character">
    <w:name w:val="heading 3"/>
    <w:link w:val="Style_6"/>
    <w:rPr>
      <w:rFonts w:ascii="XO Thames" w:hAnsi="XO Thames"/>
      <w:b w:val="1"/>
      <w:i w:val="1"/>
      <w:color w:val="000000"/>
    </w:rPr>
  </w:style>
  <w:style w:styleId="Style_7" w:type="paragraph">
    <w:name w:val="toc 3"/>
    <w:next w:val="Style_1"/>
    <w:link w:val="Style_7_ch"/>
    <w:uiPriority w:val="39"/>
    <w:pPr>
      <w:ind w:firstLine="0" w:left="400"/>
    </w:pPr>
  </w:style>
  <w:style w:styleId="Style_7_ch" w:type="character">
    <w:name w:val="toc 3"/>
    <w:link w:val="Style_7"/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8_ch" w:type="character">
    <w:name w:val="heading 5"/>
    <w:link w:val="Style_8"/>
    <w:rPr>
      <w:rFonts w:ascii="XO Thames" w:hAnsi="XO Thames"/>
      <w:b w:val="1"/>
      <w:color w:val="000000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/>
      <w:jc w:val="left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</w:pPr>
    <w:rPr>
      <w:rFonts w:ascii="XO Thames" w:hAnsi="XO Thames"/>
      <w:b w:val="1"/>
    </w:rPr>
  </w:style>
  <w:style w:styleId="Style_12_ch" w:type="character">
    <w:name w:val="toc 1"/>
    <w:link w:val="Style_12"/>
    <w:rPr>
      <w:rFonts w:ascii="XO Thames" w:hAnsi="XO Thames"/>
      <w:b w:val="1"/>
    </w:rPr>
  </w:style>
  <w:style w:styleId="Style_13" w:type="paragraph">
    <w:name w:val="Header and Footer"/>
    <w:link w:val="Style_13_ch"/>
    <w:pPr>
      <w:spacing w:line="360" w:lineRule="auto"/>
      <w:ind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</w:pPr>
  </w:style>
  <w:style w:styleId="Style_14_ch" w:type="character">
    <w:name w:val="toc 9"/>
    <w:link w:val="Style_14"/>
  </w:style>
  <w:style w:styleId="Style_15" w:type="paragraph">
    <w:name w:val="toc 8"/>
    <w:next w:val="Style_1"/>
    <w:link w:val="Style_15_ch"/>
    <w:uiPriority w:val="39"/>
    <w:pPr>
      <w:ind w:firstLine="0" w:left="1400"/>
    </w:pPr>
  </w:style>
  <w:style w:styleId="Style_15_ch" w:type="character">
    <w:name w:val="toc 8"/>
    <w:link w:val="Style_15"/>
  </w:style>
  <w:style w:styleId="Style_16" w:type="paragraph">
    <w:name w:val="toc 5"/>
    <w:next w:val="Style_1"/>
    <w:link w:val="Style_16_ch"/>
    <w:uiPriority w:val="39"/>
    <w:pPr>
      <w:ind w:firstLine="0" w:left="800"/>
    </w:pPr>
  </w:style>
  <w:style w:styleId="Style_16_ch" w:type="character">
    <w:name w:val="toc 5"/>
    <w:link w:val="Style_16"/>
  </w:style>
  <w:style w:styleId="Style_17" w:type="paragraph">
    <w:name w:val="Subtitle"/>
    <w:next w:val="Style_1"/>
    <w:link w:val="Style_17_ch"/>
    <w:uiPriority w:val="11"/>
    <w:qFormat/>
    <w:rPr>
      <w:rFonts w:ascii="XO Thames" w:hAnsi="XO Thames"/>
      <w:i w:val="1"/>
      <w:color w:val="616161"/>
      <w:sz w:val="24"/>
    </w:rPr>
  </w:style>
  <w:style w:styleId="Style_17_ch" w:type="character">
    <w:name w:val="Subtitle"/>
    <w:link w:val="Style_17"/>
    <w:rPr>
      <w:rFonts w:ascii="XO Thames" w:hAnsi="XO Thames"/>
      <w:i w:val="1"/>
      <w:color w:val="616161"/>
      <w:sz w:val="24"/>
    </w:rPr>
  </w:style>
  <w:style w:styleId="Style_18" w:type="paragraph">
    <w:name w:val="toc 10"/>
    <w:next w:val="Style_1"/>
    <w:link w:val="Style_18_ch"/>
    <w:uiPriority w:val="39"/>
    <w:pPr>
      <w:ind w:firstLine="0" w:left="1800"/>
    </w:pPr>
  </w:style>
  <w:style w:styleId="Style_18_ch" w:type="character">
    <w:name w:val="toc 10"/>
    <w:link w:val="Style_18"/>
  </w:style>
  <w:style w:styleId="Style_19" w:type="paragraph">
    <w:name w:val="Title"/>
    <w:next w:val="Style_1"/>
    <w:link w:val="Style_19_ch"/>
    <w:uiPriority w:val="10"/>
    <w:qFormat/>
    <w:rPr>
      <w:rFonts w:ascii="XO Thames" w:hAnsi="XO Thames"/>
      <w:b w:val="1"/>
      <w:sz w:val="52"/>
    </w:rPr>
  </w:style>
  <w:style w:styleId="Style_19_ch" w:type="character">
    <w:name w:val="Title"/>
    <w:link w:val="Style_19"/>
    <w:rPr>
      <w:rFonts w:ascii="XO Thames" w:hAnsi="XO Thames"/>
      <w:b w:val="1"/>
      <w:sz w:val="52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0_ch" w:type="character">
    <w:name w:val="heading 4"/>
    <w:link w:val="Style_20"/>
    <w:rPr>
      <w:rFonts w:ascii="XO Thames" w:hAnsi="XO Thames"/>
      <w:b w:val="1"/>
      <w:color w:val="595959"/>
      <w:sz w:val="26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1_ch" w:type="character">
    <w:name w:val="heading 2"/>
    <w:link w:val="Style_21"/>
    <w:rPr>
      <w:rFonts w:ascii="XO Thames" w:hAnsi="XO Thames"/>
      <w:b w:val="1"/>
      <w:color w:val="00A0FF"/>
      <w:sz w:val="26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MyOffice-CoreFramework-Windows/22-903.417.5503.534.7@RELEASE-DESKTOP-SORREL_HOME-RC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2025-11-13T16:40:04Z</dcterms:modified>
</cp:coreProperties>
</file>