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48"/>
          <w:szCs w:val="48"/>
        </w:rPr>
        <w:t xml:space="preserve">PRODUCTION READINESS AUDIT</w:t>
      </w:r>
    </w:p>
    <w:p>
      <w:pPr>
        <w:spacing w:after="100"/>
        <w:jc w:val="center"/>
      </w:pPr>
      <w:r>
        <w:rPr>
          <w:rFonts w:ascii="Arial" w:cs="Arial" w:eastAsia="Arial" w:hAnsi="Arial"/>
          <w:color w:val="2E5090"/>
          <w:sz w:val="32"/>
          <w:szCs w:val="32"/>
        </w:rPr>
        <w:t xml:space="preserve">BillRaja (billeasy)</w:t>
      </w:r>
    </w:p>
    <w:p>
      <w:pPr>
        <w:pBdr>
          <w:bottom w:val="single" w:color="1E3A5F" w:sz="6" w:space="1"/>
        </w:pBdr>
        <w:spacing w:after="600"/>
        <w:jc w:val="center"/>
      </w:pPr>
      <w:r>
        <w:rPr>
          <w:rFonts w:ascii="Arial" w:cs="Arial" w:eastAsia="Arial" w:hAnsi="Arial"/>
          <w:color w:val="475467"/>
          <w:sz w:val="24"/>
          <w:szCs w:val="24"/>
        </w:rPr>
        <w:t xml:space="preserve">Security, Scalability &amp; Infrastructure Deep Analysis</w:t>
      </w:r>
    </w:p>
    <w:p>
      <w:pPr>
        <w:spacing w:before="400"/>
      </w:pPr>
    </w:p>
    <w:p>
      <w:pPr>
        <w:jc w:val="center"/>
      </w:pPr>
      <w:r>
        <w:rPr>
          <w:rFonts w:ascii="Arial" w:cs="Arial" w:eastAsia="Arial" w:hAnsi="Arial"/>
          <w:color w:val="475467"/>
          <w:sz w:val="22"/>
          <w:szCs w:val="22"/>
        </w:rPr>
        <w:t xml:space="preserve">Date: April 8, 2026</w:t>
      </w:r>
    </w:p>
    <w:p>
      <w:pPr>
        <w:jc w:val="center"/>
      </w:pPr>
      <w:r>
        <w:rPr>
          <w:rFonts w:ascii="Arial" w:cs="Arial" w:eastAsia="Arial" w:hAnsi="Arial"/>
          <w:color w:val="475467"/>
          <w:sz w:val="22"/>
          <w:szCs w:val="22"/>
        </w:rPr>
        <w:t xml:space="preserve">Classification: Confidential</w:t>
      </w:r>
    </w:p>
    <w:p>
      <w:pPr>
        <w:spacing w:before="200"/>
        <w:jc w:val="center"/>
      </w:pPr>
      <w:r>
        <w:rPr>
          <w:rFonts w:ascii="Arial" w:cs="Arial" w:eastAsia="Arial" w:hAnsi="Arial"/>
          <w:color w:val="6B7280"/>
          <w:sz w:val="20"/>
          <w:szCs w:val="20"/>
        </w:rPr>
        <w:t xml:space="preserve">Scope: Full codebase review (Flutter client, Cloud Functions, Firestore rules, data models)</w:t>
      </w:r>
    </w:p>
    <w:p>
      <w:pPr>
        <w:spacing w:before="100"/>
        <w:jc w:val="center"/>
      </w:pPr>
      <w:r>
        <w:rPr>
          <w:rFonts w:ascii="Arial" w:cs="Arial" w:eastAsia="Arial" w:hAnsi="Arial"/>
          <w:b/>
          <w:bCs/>
          <w:color w:val="B45309"/>
          <w:sz w:val="20"/>
          <w:szCs w:val="20"/>
        </w:rPr>
        <w:t xml:space="preserve">Constraint: All remedies preserve existing app behaviour, features, and user flows</w:t>
      </w:r>
    </w:p>
    <w:p>
      <w:pPr>
        <w:sectPr>
          <w:pgSz w:w="12240" w:h="15840" w:orient="portrait"/>
          <w:pgMar w:top="1440" w:right="1440" w:bottom="1440" w:left="1440" w:header="708" w:footer="708" w:gutter="0"/>
          <w:pgNumType/>
          <w:docGrid w:linePitch="360"/>
        </w:sectPr>
      </w:pPr>
    </w:p>
    <w:p>
      <w:pPr>
        <w:pStyle w:val="Heading1"/>
        <w:spacing w:after="120" w:before="300"/>
      </w:pPr>
      <w:r>
        <w:t xml:space="preserve">1. Executive Summary</w:t>
      </w:r>
    </w:p>
    <w:p>
      <w:pPr>
        <w:spacing w:after="120"/>
      </w:pPr>
      <w:r>
        <w:rPr>
          <w:rFonts w:ascii="Arial" w:cs="Arial" w:eastAsia="Arial" w:hAnsi="Arial"/>
          <w:sz w:val="22"/>
          <w:szCs w:val="22"/>
        </w:rPr>
        <w:t xml:space="preserve">This report presents a deep production readiness audit of the BillRaja application, covering the Flutter client (35 service files, 20 screens, 15 data models), Firebase Cloud Functions (~7,900 lines), Firestore security rules (~630 lines), and all supporting infrastructure. The audit focuses exclusively on security vulnerabilities and scalability bottlenecks, providing remedies that </w:t>
      </w:r>
      <w:r>
        <w:rPr>
          <w:rFonts w:ascii="Arial" w:cs="Arial" w:eastAsia="Arial" w:hAnsi="Arial"/>
          <w:b/>
          <w:bCs/>
          <w:sz w:val="22"/>
          <w:szCs w:val="22"/>
        </w:rPr>
        <w:t xml:space="preserve">do not alter any existing app behaviour, features, or user flows</w:t>
      </w:r>
      <w:r>
        <w:rPr>
          <w:rFonts w:ascii="Arial" w:cs="Arial" w:eastAsia="Arial" w:hAnsi="Arial"/>
          <w:sz w:val="22"/>
          <w:szCs w:val="22"/>
        </w:rPr>
        <w:t xml:space="preserve">.</w:t>
      </w:r>
    </w:p>
    <w:p>
      <w:pPr>
        <w:spacing w:after="120"/>
      </w:pPr>
      <w:r>
        <w:rPr>
          <w:rFonts w:ascii="Arial" w:cs="Arial" w:eastAsia="Arial" w:hAnsi="Arial"/>
          <w:sz w:val="22"/>
          <w:szCs w:val="22"/>
        </w:rPr>
        <w:t xml:space="preserve">The codebase demonstrates strong engineering fundamentals: atomic transactions for financial operations, role-based access control with per-role overrides, HMAC signature verification for payments, idempotent webhook processing, and comprehensive rate limiting. However, several issues require attention before scaling beyond the current user base.</w:t>
      </w:r>
    </w:p>
    <w:p>
      <w:pPr>
        <w:pStyle w:val="Heading2"/>
        <w:spacing w:after="120" w:before="300"/>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Critical</w:t>
            </w:r>
          </w:p>
        </w:tc>
        <w:tc>
          <w:tcPr>
            <w:tcW w:type="dxa" w:w="234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234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Medium</w:t>
            </w:r>
          </w:p>
        </w:tc>
        <w:tc>
          <w:tcPr>
            <w:tcW w:type="dxa" w:w="234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Low</w:t>
            </w:r>
          </w:p>
        </w:tc>
      </w:tr>
      <w:tr>
        <w:tc>
          <w:tcPr>
            <w:tcW w:type="dxa" w:w="234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pPr>
              <w:jc w:val="center"/>
            </w:pPr>
            <w:r>
              <w:rPr>
                <w:rFonts w:ascii="Arial" w:cs="Arial" w:eastAsia="Arial" w:hAnsi="Arial"/>
                <w:b/>
                <w:bCs/>
                <w:sz w:val="28"/>
                <w:szCs w:val="28"/>
              </w:rPr>
              <w:t xml:space="preserve">3</w:t>
            </w:r>
          </w:p>
        </w:tc>
        <w:tc>
          <w:tcPr>
            <w:tcW w:type="dxa" w:w="234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pPr>
              <w:jc w:val="center"/>
            </w:pPr>
            <w:r>
              <w:rPr>
                <w:rFonts w:ascii="Arial" w:cs="Arial" w:eastAsia="Arial" w:hAnsi="Arial"/>
                <w:b/>
                <w:bCs/>
                <w:sz w:val="28"/>
                <w:szCs w:val="28"/>
              </w:rPr>
              <w:t xml:space="preserve">5</w:t>
            </w:r>
          </w:p>
        </w:tc>
        <w:tc>
          <w:tcPr>
            <w:tcW w:type="dxa" w:w="234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pPr>
              <w:jc w:val="center"/>
            </w:pPr>
            <w:r>
              <w:rPr>
                <w:rFonts w:ascii="Arial" w:cs="Arial" w:eastAsia="Arial" w:hAnsi="Arial"/>
                <w:b/>
                <w:bCs/>
                <w:sz w:val="28"/>
                <w:szCs w:val="28"/>
              </w:rPr>
              <w:t xml:space="preserve">7</w:t>
            </w:r>
          </w:p>
        </w:tc>
        <w:tc>
          <w:tcPr>
            <w:tcW w:type="dxa" w:w="2340"/>
            <w:tcBorders>
              <w:top w:val="single" w:color="D0D5DD" w:sz="1"/>
              <w:left w:val="single" w:color="D0D5DD" w:sz="1"/>
              <w:bottom w:val="single" w:color="D0D5DD" w:sz="1"/>
              <w:right w:val="single" w:color="D0D5DD" w:sz="1"/>
            </w:tcBorders>
            <w:shd w:fill="F3F4F6" w:val="clear"/>
            <w:tcMar>
              <w:top w:type="dxa" w:w="60"/>
              <w:left w:type="dxa" w:w="100"/>
              <w:bottom w:type="dxa" w:w="60"/>
              <w:right w:type="dxa" w:w="100"/>
            </w:tcMar>
          </w:tcPr>
          <w:p>
            <w:pPr>
              <w:jc w:val="center"/>
            </w:pPr>
            <w:r>
              <w:rPr>
                <w:rFonts w:ascii="Arial" w:cs="Arial" w:eastAsia="Arial" w:hAnsi="Arial"/>
                <w:b/>
                <w:bCs/>
                <w:sz w:val="28"/>
                <w:szCs w:val="28"/>
              </w:rPr>
              <w:t xml:space="preserve">4</w:t>
            </w:r>
          </w:p>
        </w:tc>
      </w:tr>
    </w:tbl>
    <w:p>
      <w:r>
        <w:br w:type="page"/>
      </w:r>
    </w:p>
    <w:p>
      <w:pPr>
        <w:pStyle w:val="Heading1"/>
        <w:spacing w:after="120" w:before="300"/>
      </w:pPr>
      <w:r>
        <w:t xml:space="preserve">2. Critical Findings</w:t>
      </w:r>
    </w:p>
    <w:p>
      <w:pPr>
        <w:pStyle w:val="Heading3"/>
        <w:spacing w:after="120" w:before="300"/>
      </w:pPr>
      <w:r>
        <w:t xml:space="preserve">C1: Firebase API Keys Committed in Source Control</w:t>
      </w:r>
    </w:p>
    <w:p>
      <w:pPr>
        <w:spacing w:after="120"/>
      </w:pPr>
      <w:r>
        <w:rPr>
          <w:rFonts w:ascii="Arial" w:cs="Arial" w:eastAsia="Arial" w:hAnsi="Arial"/>
          <w:b/>
          <w:bCs/>
          <w:color w:val="B91C1C"/>
          <w:sz w:val="18"/>
          <w:szCs w:val="18"/>
          <w:shd w:fill="FEE2E2" w:val="clear"/>
        </w:rPr>
        <w:t xml:space="preserve"> CRITICAL </w:t>
      </w:r>
      <w:r>
        <w:rPr>
          <w:rFonts w:ascii="Arial" w:cs="Arial" w:eastAsia="Arial" w:hAnsi="Arial"/>
          <w:sz w:val="22"/>
          <w:szCs w:val="22"/>
        </w:rPr>
        <w:t xml:space="preserve">  Category: Secret Management</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lib/firebase_options.dart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Firebase Web API key (AIzaSyAQwciiy95IZmhNumtPLgqDHXF1ypiEMbc), Android API key (AIzaSyB3AjcvLHxaZ3Ec3xg0S7-OmMZLnxpqXfU), measurement ID, and all project identifiers are committed directly to the source repository. While Firebase API keys are designed to be public-facing, the Web API key combined with the auth domain and project ID allows anyone to call the Firebase Auth REST API directly (create accounts, send OTP, enumerate users), bypassing App Check entirely if not properly restricted. Additionally, the Google Sign-In Android client ID in auth_service.dart is also hardcoded.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Credential abuse, account enumeration, unauthorized API calls outside your app, potential billing abuse through unrestricted auth endpoints.</w:t>
      </w:r>
    </w:p>
    <w:p>
      <w:pPr>
        <w:spacing w:after="120"/>
      </w:pPr>
      <w:r>
        <w:rPr>
          <w:rFonts w:ascii="Arial" w:cs="Arial" w:eastAsia="Arial" w:hAnsi="Arial"/>
          <w:b/>
          <w:bCs/>
          <w:sz w:val="22"/>
          <w:szCs w:val="22"/>
        </w:rPr>
        <w:t xml:space="preserve">Remedy (no behaviour change):</w:t>
      </w:r>
    </w:p>
    <w:p>
      <w:pPr>
        <w:pStyle w:val="ListParagraph"/>
        <w:numPr>
          <w:ilvl w:val="0"/>
          <w:numId w:val="2"/>
        </w:numPr>
      </w:pPr>
      <w:r>
        <w:rPr>
          <w:rFonts w:ascii="Arial" w:cs="Arial" w:eastAsia="Arial" w:hAnsi="Arial"/>
          <w:sz w:val="22"/>
          <w:szCs w:val="22"/>
        </w:rPr>
        <w:t xml:space="preserve">Restrict the Web API key in Google Cloud Console to only allow Identity Toolkit API and Token Service API. Block all other APIs.</w:t>
      </w:r>
    </w:p>
    <w:p>
      <w:pPr>
        <w:pStyle w:val="ListParagraph"/>
        <w:numPr>
          <w:ilvl w:val="0"/>
          <w:numId w:val="2"/>
        </w:numPr>
      </w:pPr>
      <w:r>
        <w:rPr>
          <w:rFonts w:ascii="Arial" w:cs="Arial" w:eastAsia="Arial" w:hAnsi="Arial"/>
          <w:sz w:val="22"/>
          <w:szCs w:val="22"/>
        </w:rPr>
        <w:t xml:space="preserve">Add HTTP referrer restrictions to the Web key (only your domain and localhost for dev).</w:t>
      </w:r>
    </w:p>
    <w:p>
      <w:pPr>
        <w:pStyle w:val="ListParagraph"/>
        <w:numPr>
          <w:ilvl w:val="0"/>
          <w:numId w:val="2"/>
        </w:numPr>
      </w:pPr>
      <w:r>
        <w:rPr>
          <w:rFonts w:ascii="Arial" w:cs="Arial" w:eastAsia="Arial" w:hAnsi="Arial"/>
          <w:sz w:val="22"/>
          <w:szCs w:val="22"/>
        </w:rPr>
        <w:t xml:space="preserve">Restrict the Android key to your app's SHA-1 certificate fingerprint.</w:t>
      </w:r>
    </w:p>
    <w:p>
      <w:pPr>
        <w:pStyle w:val="ListParagraph"/>
        <w:numPr>
          <w:ilvl w:val="0"/>
          <w:numId w:val="2"/>
        </w:numPr>
      </w:pPr>
      <w:r>
        <w:rPr>
          <w:rFonts w:ascii="Arial" w:cs="Arial" w:eastAsia="Arial" w:hAnsi="Arial"/>
          <w:sz w:val="22"/>
          <w:szCs w:val="22"/>
        </w:rPr>
        <w:t xml:space="preserve">Enable Firebase App Check enforcement (not just attestation) on all Firebase products: Auth, Firestore, Storage, Cloud Functions. You already initialise App Check in app_check_service.dart but it must be enforced server-side.</w:t>
      </w:r>
    </w:p>
    <w:p>
      <w:pPr>
        <w:pStyle w:val="ListParagraph"/>
        <w:numPr>
          <w:ilvl w:val="0"/>
          <w:numId w:val="2"/>
        </w:numPr>
      </w:pPr>
      <w:r>
        <w:rPr>
          <w:rFonts w:ascii="Arial" w:cs="Arial" w:eastAsia="Arial" w:hAnsi="Arial"/>
          <w:sz w:val="22"/>
          <w:szCs w:val="22"/>
        </w:rPr>
        <w:t xml:space="preserve">Rotate the current API keys after applying restrictions.</w:t>
      </w:r>
    </w:p>
    <w:p>
      <w:pPr>
        <w:pStyle w:val="Heading3"/>
        <w:spacing w:after="120" w:before="300"/>
      </w:pPr>
      <w:r>
        <w:t xml:space="preserve">C2: Cloud Functions Lack App Check Enforcement</w:t>
      </w:r>
    </w:p>
    <w:p>
      <w:pPr>
        <w:spacing w:after="120"/>
      </w:pPr>
      <w:r>
        <w:rPr>
          <w:rFonts w:ascii="Arial" w:cs="Arial" w:eastAsia="Arial" w:hAnsi="Arial"/>
          <w:b/>
          <w:bCs/>
          <w:color w:val="B91C1C"/>
          <w:sz w:val="18"/>
          <w:szCs w:val="18"/>
          <w:shd w:fill="FEE2E2" w:val="clear"/>
        </w:rPr>
        <w:t xml:space="preserve"> CRITICAL </w:t>
      </w:r>
      <w:r>
        <w:rPr>
          <w:rFonts w:ascii="Arial" w:cs="Arial" w:eastAsia="Arial" w:hAnsi="Arial"/>
          <w:sz w:val="22"/>
          <w:szCs w:val="22"/>
        </w:rPr>
        <w:t xml:space="preserve">  Category: API Security</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functions/index.js (all onCall/onRequest handlers)</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While the Flutter client initialises App Check via app_check_service.dart, none of the ~30 onCall Cloud Functions enforce App Check server-side. Any caller with the project ID and API key can invoke reserveInvoiceNumber, createSubscription, createTeamInvite, saveSharedInvoiceLink, and every other callable function directly via HTTP, bypassing the app entirely. The onRequest handlers (razorpayWebhook, invoicePage, broadcastImage) also lack App Check but those have separate authentication mechanisms.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An attacker can exhaust invoice number sequences, create fraudulent subscriptions, spam team invites, and abuse rate limits from automated scripts.</w:t>
      </w:r>
    </w:p>
    <w:p>
      <w:pPr>
        <w:spacing w:after="120"/>
      </w:pPr>
      <w:r>
        <w:rPr>
          <w:rFonts w:ascii="Arial" w:cs="Arial" w:eastAsia="Arial" w:hAnsi="Arial"/>
          <w:b/>
          <w:bCs/>
          <w:sz w:val="22"/>
          <w:szCs w:val="22"/>
        </w:rPr>
        <w:t xml:space="preserve">Remedy (no behaviour change):</w:t>
      </w:r>
    </w:p>
    <w:p>
      <w:pPr>
        <w:pStyle w:val="ListParagraph"/>
        <w:numPr>
          <w:ilvl w:val="0"/>
          <w:numId w:val="2"/>
        </w:numPr>
      </w:pPr>
      <w:r>
        <w:rPr>
          <w:rFonts w:ascii="Arial" w:cs="Arial" w:eastAsia="Arial" w:hAnsi="Arial"/>
          <w:sz w:val="22"/>
          <w:szCs w:val="22"/>
        </w:rPr>
        <w:t xml:space="preserve">Add { enforceAppCheck: true } to every onCall function definition. Example: onCall({ enforceAppCheck: true, memory: '256MiB' }, async (request) =&gt; { ... }). This is a single-line config change per function.</w:t>
      </w:r>
    </w:p>
    <w:p>
      <w:pPr>
        <w:pStyle w:val="ListParagraph"/>
        <w:numPr>
          <w:ilvl w:val="0"/>
          <w:numId w:val="2"/>
        </w:numPr>
      </w:pPr>
      <w:r>
        <w:rPr>
          <w:rFonts w:ascii="Arial" w:cs="Arial" w:eastAsia="Arial" w:hAnsi="Arial"/>
          <w:sz w:val="22"/>
          <w:szCs w:val="22"/>
        </w:rPr>
        <w:t xml:space="preserve">For onRequest handlers that serve web pages (invoicePage), App Check cannot be enforced; the existing rate-limiting is adequate.</w:t>
      </w:r>
    </w:p>
    <w:p>
      <w:pPr>
        <w:pStyle w:val="ListParagraph"/>
        <w:numPr>
          <w:ilvl w:val="0"/>
          <w:numId w:val="2"/>
        </w:numPr>
      </w:pPr>
      <w:r>
        <w:rPr>
          <w:rFonts w:ascii="Arial" w:cs="Arial" w:eastAsia="Arial" w:hAnsi="Arial"/>
          <w:sz w:val="22"/>
          <w:szCs w:val="22"/>
        </w:rPr>
        <w:t xml:space="preserve">Test with debug tokens locally before deploying to production.</w:t>
      </w:r>
    </w:p>
    <w:p>
      <w:pPr>
        <w:pStyle w:val="Heading3"/>
        <w:spacing w:after="120" w:before="300"/>
      </w:pPr>
      <w:r>
        <w:t xml:space="preserve">C3: Razorpay Webhook Secret Loaded at Module Level</w:t>
      </w:r>
    </w:p>
    <w:p>
      <w:pPr>
        <w:spacing w:after="120"/>
      </w:pPr>
      <w:r>
        <w:rPr>
          <w:rFonts w:ascii="Arial" w:cs="Arial" w:eastAsia="Arial" w:hAnsi="Arial"/>
          <w:b/>
          <w:bCs/>
          <w:color w:val="B91C1C"/>
          <w:sz w:val="18"/>
          <w:szCs w:val="18"/>
          <w:shd w:fill="FEE2E2" w:val="clear"/>
        </w:rPr>
        <w:t xml:space="preserve"> CRITICAL </w:t>
      </w:r>
      <w:r>
        <w:rPr>
          <w:rFonts w:ascii="Arial" w:cs="Arial" w:eastAsia="Arial" w:hAnsi="Arial"/>
          <w:sz w:val="22"/>
          <w:szCs w:val="22"/>
        </w:rPr>
        <w:t xml:space="preserve">  Category: Payment Security</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functions/index.js, line ~4120</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code reads RAZORPAY_WEBHOOK_SECRET at module-level initialisation (const RAZORPAY_WEBHOOK_SECRET = process.env.RAZORPAY_WEBHOOK_SECRET). Firebase Cloud Functions secrets are only populated at request time for functions that declare them in their secrets array. The razorpayWebhook handler correctly declares secrets: ['RAZORPAY_WEBHOOK_SECRET'] on itself, but the module-level read captures an empty/undefined value during cold start. Inside the handler, the code falls back to the runtime env var (const webhookSecret = process.env.RAZORPAY_WEBHOOK_SECRET || RAZORPAY_WEBHOOK_SECRET), which works, but the fallback chain is fragile. If the process.env read also fails, all webhook signature checks are skipped and the logger.warn fires, but the function only returns 401 when the signature is missing, not when the secret is missing.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During certain cold-start timing windows, webhook signature verification may silently fail, allowing forged Razorpay events to credit subscriptions or record payments.</w:t>
      </w:r>
    </w:p>
    <w:p>
      <w:pPr>
        <w:spacing w:after="120"/>
      </w:pPr>
      <w:r>
        <w:rPr>
          <w:rFonts w:ascii="Arial" w:cs="Arial" w:eastAsia="Arial" w:hAnsi="Arial"/>
          <w:b/>
          <w:bCs/>
          <w:sz w:val="22"/>
          <w:szCs w:val="22"/>
        </w:rPr>
        <w:t xml:space="preserve">Remedy (no behaviour change):</w:t>
      </w:r>
    </w:p>
    <w:p>
      <w:pPr>
        <w:pStyle w:val="ListParagraph"/>
        <w:numPr>
          <w:ilvl w:val="0"/>
          <w:numId w:val="2"/>
        </w:numPr>
      </w:pPr>
      <w:r>
        <w:rPr>
          <w:rFonts w:ascii="Arial" w:cs="Arial" w:eastAsia="Arial" w:hAnsi="Arial"/>
          <w:sz w:val="22"/>
          <w:szCs w:val="22"/>
        </w:rPr>
        <w:t xml:space="preserve">Remove the module-level RAZORPAY_WEBHOOK_SECRET constant entirely.</w:t>
      </w:r>
    </w:p>
    <w:p>
      <w:pPr>
        <w:pStyle w:val="ListParagraph"/>
        <w:numPr>
          <w:ilvl w:val="0"/>
          <w:numId w:val="2"/>
        </w:numPr>
      </w:pPr>
      <w:r>
        <w:rPr>
          <w:rFonts w:ascii="Arial" w:cs="Arial" w:eastAsia="Arial" w:hAnsi="Arial"/>
          <w:sz w:val="22"/>
          <w:szCs w:val="22"/>
        </w:rPr>
        <w:t xml:space="preserve">Inside razorpayWebhook, read the secret only from process.env.RAZORPAY_WEBHOOK_SECRET. If it is falsy, return 500 (not 401) immediately with a log.error.</w:t>
      </w:r>
    </w:p>
    <w:p>
      <w:pPr>
        <w:pStyle w:val="ListParagraph"/>
        <w:numPr>
          <w:ilvl w:val="0"/>
          <w:numId w:val="2"/>
        </w:numPr>
      </w:pPr>
      <w:r>
        <w:rPr>
          <w:rFonts w:ascii="Arial" w:cs="Arial" w:eastAsia="Arial" w:hAnsi="Arial"/>
          <w:sz w:val="22"/>
          <w:szCs w:val="22"/>
        </w:rPr>
        <w:t xml:space="preserve">Add the webhook secret to the secrets array: secrets: ['RAZORPAY_WEBHOOK_SECRET', 'RAZORPAY_KEY_ID', 'RAZORPAY_KEY_SECRET'].</w:t>
      </w:r>
    </w:p>
    <w:p>
      <w:r>
        <w:br w:type="page"/>
      </w:r>
    </w:p>
    <w:p>
      <w:pPr>
        <w:pStyle w:val="Heading1"/>
        <w:spacing w:after="120" w:before="300"/>
      </w:pPr>
      <w:r>
        <w:t xml:space="preserve">3. High Severity Findings</w:t>
      </w:r>
    </w:p>
    <w:p>
      <w:pPr>
        <w:pStyle w:val="Heading3"/>
        <w:spacing w:after="120" w:before="300"/>
      </w:pPr>
      <w:r>
        <w:t xml:space="preserve">H1: No Input Size Limits on Cloud Function Payloads</w:t>
      </w:r>
    </w:p>
    <w:p>
      <w:pPr>
        <w:spacing w:after="120"/>
      </w:pPr>
      <w:r>
        <w:rPr>
          <w:rFonts w:ascii="Arial" w:cs="Arial" w:eastAsia="Arial" w:hAnsi="Arial"/>
          <w:b/>
          <w:bCs/>
          <w:color w:val="B45309"/>
          <w:sz w:val="18"/>
          <w:szCs w:val="18"/>
          <w:shd w:fill="FEF3C7" w:val="clear"/>
        </w:rPr>
        <w:t xml:space="preserve"> HIGH </w:t>
      </w:r>
      <w:r>
        <w:rPr>
          <w:rFonts w:ascii="Arial" w:cs="Arial" w:eastAsia="Arial" w:hAnsi="Arial"/>
          <w:sz w:val="22"/>
          <w:szCs w:val="22"/>
        </w:rPr>
        <w:t xml:space="preserve">  Category: DoS / Resource Exhaustion</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Cloud Functions like saveMembershipPlan, saveMembershipMember, saveSharedInvoiceLink, and createTeamInvite accept user-supplied objects (plan, member, items arrays) without enforcing maximum payload sizes or array lengths. An attacker can send a plan with a 10 MB description string or a member with thousands of benefits entries, consuming function memory (most are 256MiB) and Firestore write bandwidth.</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payload size validation at the top of each handler. For example, validate that JSON.stringify(request.data).length &lt; 50000, that items arrays have at most 200 entries, and that string fields are capped at reasonable lengths (e.g., 500 chars for name, 5000 for description). Reject oversized requests with HttpsError('invalid-argument').</w:t>
      </w:r>
    </w:p>
    <w:p>
      <w:pPr>
        <w:pStyle w:val="Heading3"/>
        <w:spacing w:after="120" w:before="300"/>
      </w:pPr>
      <w:r>
        <w:t xml:space="preserve">H2: syncInvoiceAnalytics Firestore Trigger Lacks Write-Loop Guard for Edge Cases</w:t>
      </w:r>
    </w:p>
    <w:p>
      <w:pPr>
        <w:spacing w:after="120"/>
      </w:pPr>
      <w:r>
        <w:rPr>
          <w:rFonts w:ascii="Arial" w:cs="Arial" w:eastAsia="Arial" w:hAnsi="Arial"/>
          <w:b/>
          <w:bCs/>
          <w:color w:val="B45309"/>
          <w:sz w:val="18"/>
          <w:szCs w:val="18"/>
          <w:shd w:fill="FEF3C7" w:val="clear"/>
        </w:rPr>
        <w:t xml:space="preserve"> HIGH </w:t>
      </w:r>
      <w:r>
        <w:rPr>
          <w:rFonts w:ascii="Arial" w:cs="Arial" w:eastAsia="Arial" w:hAnsi="Arial"/>
          <w:sz w:val="22"/>
          <w:szCs w:val="22"/>
        </w:rPr>
        <w:t xml:space="preserve">  Category: Scalability / Infinite Loops</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syncInvoiceAnalytics trigger fires on every write to /invoices/{id}. It detects self-writes via isSelfWrite() by comparing before/after fields. However, if a third-party admin SDK write changes a field that is both a SELF_WRITTEN_FIELD and a user field (e.g., grandTotal is written by both the user during creation and the normalization function), the self-write guard may fail to catch the cycle. The isSelfWrite function also does not guard against the case where beforeData and afterData have zero changed keys (which returns false, causing unnecessary processing). While the current invoiceNeedsNormalization() guard was fixed to handle array comparison, any new field added to the derivedPatch in the future could reintroduce a write loop if the developer is not aware of this subtle contract.</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a dedicated _normalizedBy: 'cloud_function' sentinel field to every normalization write, and check for its presence in the trigger guard as a failsafe. Also add a maximum-writes-per-document counter (e.g., reject normalization if a document has been written &gt;3 times within 10 seconds) using Firestore metadata timestamps.</w:t>
      </w:r>
    </w:p>
    <w:p>
      <w:pPr>
        <w:pStyle w:val="Heading3"/>
        <w:spacing w:after="120" w:before="300"/>
      </w:pPr>
      <w:r>
        <w:t xml:space="preserve">H3: Product Deletion Scans Up to 5,000 Invoices Without Pagination Cursor</w:t>
      </w:r>
    </w:p>
    <w:p>
      <w:pPr>
        <w:spacing w:after="120"/>
      </w:pPr>
      <w:r>
        <w:rPr>
          <w:rFonts w:ascii="Arial" w:cs="Arial" w:eastAsia="Arial" w:hAnsi="Arial"/>
          <w:b/>
          <w:bCs/>
          <w:color w:val="B45309"/>
          <w:sz w:val="18"/>
          <w:szCs w:val="18"/>
          <w:shd w:fill="FEF3C7" w:val="clear"/>
        </w:rPr>
        <w:t xml:space="preserve"> HIGH </w:t>
      </w:r>
      <w:r>
        <w:rPr>
          <w:rFonts w:ascii="Arial" w:cs="Arial" w:eastAsia="Arial" w:hAnsi="Arial"/>
          <w:sz w:val="22"/>
          <w:szCs w:val="22"/>
        </w:rPr>
        <w:t xml:space="preserve">  Category: Scalability</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lib/services/product_service.dart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When deleting a product, the service queries invoices where items contain the productId, scanning up to 5,000 documents in a single query. For businesses with large invoice volumes, this operation can time out on mobile, consume excessive Firestore reads (billed at $0.06 per 100K), and block the UI thread since it runs in a single await chain. The comment in the code acknowledges this: 'Caps reads to prevent quota exhaustion.'</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Move product-reference cleanup to a Cloud Function (similar to cleanupInvoicesAfterClientDelete). The Cloud Function can paginate through invoices in batches of 500 using bulkWriter, running server-side without client timeout constraints. The client should only soft-delete the product (set isDeleted: true) and let the Cloud Function handle the cascade asynchronously.</w:t>
      </w:r>
    </w:p>
    <w:p>
      <w:pPr>
        <w:pStyle w:val="Heading3"/>
        <w:spacing w:after="120" w:before="300"/>
      </w:pPr>
      <w:r>
        <w:t xml:space="preserve">H4: Offline Invoice Number Collision Window</w:t>
      </w:r>
    </w:p>
    <w:p>
      <w:pPr>
        <w:spacing w:after="120"/>
      </w:pPr>
      <w:r>
        <w:rPr>
          <w:rFonts w:ascii="Arial" w:cs="Arial" w:eastAsia="Arial" w:hAnsi="Arial"/>
          <w:b/>
          <w:bCs/>
          <w:color w:val="B45309"/>
          <w:sz w:val="18"/>
          <w:szCs w:val="18"/>
          <w:shd w:fill="FEF3C7" w:val="clear"/>
        </w:rPr>
        <w:t xml:space="preserve"> HIGH </w:t>
      </w:r>
      <w:r>
        <w:rPr>
          <w:rFonts w:ascii="Arial" w:cs="Arial" w:eastAsia="Arial" w:hAnsi="Arial"/>
          <w:sz w:val="22"/>
          <w:szCs w:val="22"/>
        </w:rPr>
        <w:t xml:space="preserve">  Category: Data Integrity</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lib/services/invoice_number_service.dart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offline fallback assigns invoice numbers from a device-scoped lane (20000 + deviceIndex * 200). The device index is derived by hashing device_info, giving each device a 200-number range. However, if a user reinstalls the app on the same device (new device ID) or uses more than 250 devices per account, the device index modulo wraps and two devices share the same offline lane. The reconcileInvoiceCreate Cloud Function resolves collisions server-side, but the user sees a number in the UI that may change after sync, which can cause confusion if they already communicated the number to a customer.</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Display a visual indicator (e.g., a small sync icon or 'Pending confirmation' badge) on invoices created offline, making it clear the number is provisional. Persist the device index in SharedPreferences so reinstalls reuse the same lane. Widen the offline range to 500 numbers per device.</w:t>
      </w:r>
    </w:p>
    <w:p>
      <w:pPr>
        <w:pStyle w:val="Heading3"/>
        <w:spacing w:after="120" w:before="300"/>
      </w:pPr>
      <w:r>
        <w:t xml:space="preserve">H5: No Firestore Security Rule for subscriptions Write by Webhook</w:t>
      </w:r>
    </w:p>
    <w:p>
      <w:pPr>
        <w:spacing w:after="120"/>
      </w:pPr>
      <w:r>
        <w:rPr>
          <w:rFonts w:ascii="Arial" w:cs="Arial" w:eastAsia="Arial" w:hAnsi="Arial"/>
          <w:b/>
          <w:bCs/>
          <w:color w:val="B45309"/>
          <w:sz w:val="18"/>
          <w:szCs w:val="18"/>
          <w:shd w:fill="FEF3C7" w:val="clear"/>
        </w:rPr>
        <w:t xml:space="preserve"> HIGH </w:t>
      </w:r>
      <w:r>
        <w:rPr>
          <w:rFonts w:ascii="Arial" w:cs="Arial" w:eastAsia="Arial" w:hAnsi="Arial"/>
          <w:sz w:val="22"/>
          <w:szCs w:val="22"/>
        </w:rPr>
        <w:t xml:space="preserve">  Category: Security Rules</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The subscriptions collection rule allows read for owner/team/admin and write for admin only. However, the Razorpay webhook handler writes to subscriptions/{ownerId} using the Admin SDK (which bypasses security rules). This is architecturally correct, but it means there is no defence-in-depth layer. If the webhook function is compromised or a code bug is introduced, there is no rules-level validation preventing arbitrary subscription status changes (e.g., setting status: 'active' on any user's subscription). Similarly, the billingLocks collection is not defined in firestore.rules at all, meaning the Admin SDK is the only access path, which is fine, but this should be explicitly denied for client access.</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an explicit match rule for billingLocks/{doc} with allow read, write: if false; to block any client-side access. For subscriptions, add schema validation in the security rules (even though only admin writes occur today) as a defence-in-depth measure: validate that status is one of the known values, plan is 'pro' or 'enterprise' or 'free', etc.</w:t>
      </w:r>
    </w:p>
    <w:p>
      <w:r>
        <w:br w:type="page"/>
      </w:r>
    </w:p>
    <w:p>
      <w:pPr>
        <w:pStyle w:val="Heading1"/>
        <w:spacing w:after="120" w:before="300"/>
      </w:pPr>
      <w:r>
        <w:t xml:space="preserve">4. Medium Severity Findings</w:t>
      </w:r>
    </w:p>
    <w:p>
      <w:pPr>
        <w:pStyle w:val="Heading3"/>
        <w:spacing w:after="120" w:before="300"/>
      </w:pPr>
      <w:r>
        <w:t xml:space="preserve">M1: Session Service Uses Random.secure() but No Server-Side Session Validation</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Authentication</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SessionService enforces single-device sessions by writing a random token to Firestore. However, the session token is not validated by Cloud Functions. An attacker with a valid Firebase Auth token can call any Cloud Function regardless of whether their session was revoked on the client side. Session revocation is purely a client-side courtesy.</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For sensitive operations (createSubscription, deleteMyAccount, payment verification), add a server-side check that compares the caller's session token from a custom claim or a Firestore read against the active session. This provides true session enforcement without changing the UX.</w:t>
      </w:r>
    </w:p>
    <w:p>
      <w:pPr>
        <w:pStyle w:val="Heading3"/>
        <w:spacing w:after="120" w:before="300"/>
      </w:pPr>
      <w:r>
        <w:t xml:space="preserve">M2: Firestore Offline Cache Set to 100 MB Without Eviction Strategy</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Performance / Mobile Resources</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main.dart sets Firestore offline persistence with a 100 MB cache. On low-end Android devices (common in the Indian SMB market), this can consume significant storage. There is no cache eviction strategy, so the cache grows monotonically until the app is reinstalled.</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Reduce the cache to 50 MB (still generous for this use case). Implement a periodic cache purge triggered by background_maintenance_service.dart when the app detects low storage conditions. Firestore's built-in LRU eviction handles the rest.</w:t>
      </w:r>
    </w:p>
    <w:p>
      <w:pPr>
        <w:pStyle w:val="Heading3"/>
        <w:spacing w:after="120" w:before="300"/>
      </w:pPr>
      <w:r>
        <w:t xml:space="preserve">M3: searchPrefixes Array Creates Firestore Index Bloat</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Scalability / Cost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Each invoice stores up to 60 search prefixes (substrings of client name and invoice number). Each prefix is an entry in an ARRAY_CONTAINS index. For a user with 10,000 invoices averaging 40 prefixes each, that is 400,000 index entries just for search, at ~$0.18 per 100K index entries stored. More critically, every invoice write triggers 40+ index updates, increasing write latency and cost.</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Reduce max prefix length from 20 to 10 characters (few users type &gt;10 chars to search). Reduce max prefixes from 60 to 30. This halves index cost with negligible search quality impact. For long-term: consider moving search to Algolia or a Cloud Function that queries by clientNameLower prefix range (WHERE clientNameLower &gt;= 'abc' AND clientNameLower &lt; 'abd') which uses a single composite index.</w:t>
      </w:r>
    </w:p>
    <w:p>
      <w:pPr>
        <w:pStyle w:val="Heading3"/>
        <w:spacing w:after="120" w:before="300"/>
      </w:pPr>
      <w:r>
        <w:t xml:space="preserve">M4: No Request Timeout on Client-Side Cloud Function Calls</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Reliability / UX</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Service files call FirebaseFunctions.instance.httpsCallable('functionName').call(data) without specifying a timeout. The default is 70 seconds, which means the UI can appear frozen for over a minute if a Cloud Function hangs. This is particularly problematic for reserveInvoiceNumber (called during invoice creation) and createSubscription (called during checkout).</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Set explicit timeouts on all httpsCallable calls: httpsCallable('fn', options: HttpsCallableOptions(timeout: Duration(seconds: 15))). For long-running operations like deleteMyAccount (540s server timeout), show a progress indicator and use a reasonable client timeout of 60 seconds with retry logic.</w:t>
      </w:r>
    </w:p>
    <w:p>
      <w:pPr>
        <w:pStyle w:val="Heading3"/>
        <w:spacing w:after="120" w:before="300"/>
      </w:pPr>
      <w:r>
        <w:t xml:space="preserve">M5: Rate Limit Collection Grows Unboundedly</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Scalability / Cost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Every rate-limited operation creates a document in the rate_limits collection. These documents are only cleaned up during account deletion. For a user who triggers 100 rate-limited operations per day, this creates 100 documents that persist indefinitely. Across 10,000 users over a year, that is 365 million rate limit documents.</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a scheduled Cloud Function (daily, alongside the existing cleanup jobs) that deletes rate_limits documents where the window has expired (e.g., documents with a windowStart older than 24 hours). This is a fire-and-forget bulk delete using bulkWriter.</w:t>
      </w:r>
    </w:p>
    <w:p>
      <w:pPr>
        <w:pStyle w:val="Heading3"/>
        <w:spacing w:after="120" w:before="300"/>
      </w:pPr>
      <w:r>
        <w:t xml:space="preserve">M6: Broadcast Notification to 'All Users' Performs Full Collection Scan</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Scalability</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functions/index.js, processAdminNotificationRequest</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When target.type is 'all', the function queries WHERE fcmToken != '' on the entire users collection. Firestore's != operator performs a full collection scan (it reads every document). At 100,000 users, this is 100,000 reads per broadcast, costing ~$0.06 per broadcast, plus memory pressure from loading all tokens into a single array.</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Use FCM Topics instead: subscribe all users to a 'broadcast' topic at login (admin.messaging().subscribeToTopic(tokens, 'all_users')). Send broadcasts via admin.messaging().send({ topic: 'all_users', ... }). This eliminates the Firestore query entirely and is FCM's intended pattern for broadcast notifications.</w:t>
      </w:r>
    </w:p>
    <w:p>
      <w:pPr>
        <w:pStyle w:val="Heading3"/>
        <w:spacing w:after="120" w:before="300"/>
      </w:pPr>
      <w:r>
        <w:t xml:space="preserve">M7: debugPrint Statements Throughout Production Services</w:t>
      </w:r>
    </w:p>
    <w:p>
      <w:pPr>
        <w:spacing w:after="120"/>
      </w:pPr>
      <w:r>
        <w:rPr>
          <w:rFonts w:ascii="Arial" w:cs="Arial" w:eastAsia="Arial" w:hAnsi="Arial"/>
          <w:b/>
          <w:bCs/>
          <w:color w:val="1D4ED8"/>
          <w:sz w:val="18"/>
          <w:szCs w:val="18"/>
          <w:shd w:fill="DBEAFE" w:val="clear"/>
        </w:rPr>
        <w:t xml:space="preserve"> MEDIUM </w:t>
      </w:r>
      <w:r>
        <w:rPr>
          <w:rFonts w:ascii="Arial" w:cs="Arial" w:eastAsia="Arial" w:hAnsi="Arial"/>
          <w:sz w:val="22"/>
          <w:szCs w:val="22"/>
        </w:rPr>
        <w:t xml:space="preserve">  Category: Information Leakage</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Services like session_service.dart, plan_service.dart, team_service.dart, and profile_service.dart contain extensive debugPrint() statements that log session tokens, user IDs, team IDs, and internal state. In release builds, debugPrint is a no-op on Android/iOS but not on Web (it writes to the browser console). This leaks internal identifiers and business logic flow to anyone who opens browser DevTools.</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Replace all debugPrint calls with a conditional logger that is completely silent on Web release builds. Wrap in kDebugMode checks: if (kDebugMode) debugPrint(...). This is a search-and-replace operation that does not change any logic.</w:t>
      </w:r>
    </w:p>
    <w:p>
      <w:r>
        <w:br w:type="page"/>
      </w:r>
    </w:p>
    <w:p>
      <w:pPr>
        <w:pStyle w:val="Heading1"/>
        <w:spacing w:after="120" w:before="300"/>
      </w:pPr>
      <w:r>
        <w:t xml:space="preserve">5. Low Severity Findings</w:t>
      </w:r>
    </w:p>
    <w:p>
      <w:pPr>
        <w:pStyle w:val="Heading3"/>
        <w:spacing w:after="120" w:before="300"/>
      </w:pPr>
      <w:r>
        <w:t xml:space="preserve">L1: No Automated Test Coverage for Financial Calculations</w:t>
      </w:r>
    </w:p>
    <w:p>
      <w:pPr>
        <w:spacing w:after="120"/>
      </w:pPr>
      <w:r>
        <w:rPr>
          <w:rFonts w:ascii="Arial" w:cs="Arial" w:eastAsia="Arial" w:hAnsi="Arial"/>
          <w:b/>
          <w:bCs/>
          <w:color w:val="374151"/>
          <w:sz w:val="18"/>
          <w:szCs w:val="18"/>
          <w:shd w:fill="F3F4F6" w:val="clear"/>
        </w:rPr>
        <w:t xml:space="preserve"> LOW </w:t>
      </w:r>
      <w:r>
        <w:rPr>
          <w:rFonts w:ascii="Arial" w:cs="Arial" w:eastAsia="Arial" w:hAnsi="Arial"/>
          <w:sz w:val="22"/>
          <w:szCs w:val="22"/>
        </w:rPr>
        <w:t xml:space="preserve">  Category: Reliability</w:t>
      </w:r>
    </w:p>
    <w:p>
      <w:pPr>
        <w:spacing w:after="120"/>
      </w:pPr>
      <w:r>
        <w:rPr>
          <w:rFonts w:ascii="Arial" w:cs="Arial" w:eastAsia="Arial" w:hAnsi="Arial"/>
          <w:sz w:val="22"/>
          <w:szCs w:val="22"/>
        </w:rPr>
        <w:t xml:space="preserve">The CLAUDE.md notes 'basic widget tests' only. Financial calculations (GST rounding, discount cascading, per-item tax with proportional discount) are complex and duplicated between Dart models, Cloud Functions, and Firestore rules. Any drift between these three implementations causes data corruption. Add unit tests for all financial methods in Invoice, PurchaseOrder models and the Cloud Function buildInvoiceRecord(). Use property-based testing with edge cases: zero amounts, 100% discounts, single-item invoices, mixed GST rates.</w:t>
      </w:r>
    </w:p>
    <w:p>
      <w:pPr>
        <w:pStyle w:val="Heading3"/>
        <w:spacing w:after="120" w:before="300"/>
      </w:pPr>
      <w:r>
        <w:t xml:space="preserve">L2: Missing Firestore Index for partiallyPaid Status</w:t>
      </w:r>
    </w:p>
    <w:p>
      <w:pPr>
        <w:spacing w:after="120"/>
      </w:pPr>
      <w:r>
        <w:rPr>
          <w:rFonts w:ascii="Arial" w:cs="Arial" w:eastAsia="Arial" w:hAnsi="Arial"/>
          <w:b/>
          <w:bCs/>
          <w:color w:val="374151"/>
          <w:sz w:val="18"/>
          <w:szCs w:val="18"/>
          <w:shd w:fill="F3F4F6" w:val="clear"/>
        </w:rPr>
        <w:t xml:space="preserve"> LOW </w:t>
      </w:r>
      <w:r>
        <w:rPr>
          <w:rFonts w:ascii="Arial" w:cs="Arial" w:eastAsia="Arial" w:hAnsi="Arial"/>
          <w:sz w:val="22"/>
          <w:szCs w:val="22"/>
        </w:rPr>
        <w:t xml:space="preserve">  Category: Performance</w:t>
      </w:r>
    </w:p>
    <w:p>
      <w:pPr>
        <w:spacing w:after="120"/>
      </w:pPr>
      <w:r>
        <w:rPr>
          <w:rFonts w:ascii="Arial" w:cs="Arial" w:eastAsia="Arial" w:hAnsi="Arial"/>
          <w:sz w:val="22"/>
          <w:szCs w:val="22"/>
        </w:rPr>
        <w:t xml:space="preserve">The Invoice model defines a partiallyPaid status, and the security rules allow it, but none of the composite indexes in firestore.indexes.json include it. Queries filtering by status == 'partiallyPaid' combined with ownerId and createdAt will trigger full collection scans. Add the missing composite index: (ownerId ASC, status ASC, createdAt DESC) already covers this since it uses status ASC, but verify this in the Firebase console's 'Indexes' tab under query monitoring.</w:t>
      </w:r>
    </w:p>
    <w:p>
      <w:pPr>
        <w:pStyle w:val="Heading3"/>
        <w:spacing w:after="120" w:before="300"/>
      </w:pPr>
      <w:r>
        <w:t xml:space="preserve">L3: subscription_logic.js Not Tested in CI</w:t>
      </w:r>
    </w:p>
    <w:p>
      <w:pPr>
        <w:spacing w:after="120"/>
      </w:pPr>
      <w:r>
        <w:rPr>
          <w:rFonts w:ascii="Arial" w:cs="Arial" w:eastAsia="Arial" w:hAnsi="Arial"/>
          <w:b/>
          <w:bCs/>
          <w:color w:val="374151"/>
          <w:sz w:val="18"/>
          <w:szCs w:val="18"/>
          <w:shd w:fill="F3F4F6" w:val="clear"/>
        </w:rPr>
        <w:t xml:space="preserve"> LOW </w:t>
      </w:r>
      <w:r>
        <w:rPr>
          <w:rFonts w:ascii="Arial" w:cs="Arial" w:eastAsia="Arial" w:hAnsi="Arial"/>
          <w:sz w:val="22"/>
          <w:szCs w:val="22"/>
        </w:rPr>
        <w:t xml:space="preserve">  Category: Reliability</w:t>
      </w:r>
    </w:p>
    <w:p>
      <w:pPr>
        <w:spacing w:after="120"/>
      </w:pPr>
      <w:r>
        <w:rPr>
          <w:rFonts w:ascii="Arial" w:cs="Arial" w:eastAsia="Arial" w:hAnsi="Arial"/>
          <w:sz w:val="22"/>
          <w:szCs w:val="22"/>
        </w:rPr>
        <w:t xml:space="preserve">The functions/test directory contains subscription_logic.test.js, but the npm test script (node --test test/**/*.test.js) is not wired into any CI pipeline. The lint script (node --check index.js) only verifies syntax, not logic. Wire npm test into your deployment pipeline (e.g., pre-deploy hook in firebase.json) so subscription status normalization logic is validated before every deploy.</w:t>
      </w:r>
    </w:p>
    <w:p>
      <w:pPr>
        <w:pStyle w:val="Heading3"/>
        <w:spacing w:after="120" w:before="300"/>
      </w:pPr>
      <w:r>
        <w:t xml:space="preserve">L4: Haversine Geofence Calculation Could Be Spoofed</w:t>
      </w:r>
    </w:p>
    <w:p>
      <w:pPr>
        <w:spacing w:after="120"/>
      </w:pPr>
      <w:r>
        <w:rPr>
          <w:rFonts w:ascii="Arial" w:cs="Arial" w:eastAsia="Arial" w:hAnsi="Arial"/>
          <w:b/>
          <w:bCs/>
          <w:color w:val="374151"/>
          <w:sz w:val="18"/>
          <w:szCs w:val="18"/>
          <w:shd w:fill="F3F4F6" w:val="clear"/>
        </w:rPr>
        <w:t xml:space="preserve"> LOW </w:t>
      </w:r>
      <w:r>
        <w:rPr>
          <w:rFonts w:ascii="Arial" w:cs="Arial" w:eastAsia="Arial" w:hAnsi="Arial"/>
          <w:sz w:val="22"/>
          <w:szCs w:val="22"/>
        </w:rPr>
        <w:t xml:space="preserve">  Category: Security</w:t>
      </w:r>
    </w:p>
    <w:p>
      <w:pPr>
        <w:spacing w:after="120"/>
      </w:pPr>
      <w:r>
        <w:rPr>
          <w:rFonts w:ascii="Arial" w:cs="Arial" w:eastAsia="Arial" w:hAnsi="Arial"/>
          <w:sz w:val="22"/>
          <w:szCs w:val="22"/>
        </w:rPr>
        <w:t xml:space="preserve">The teamGeoCheckIn function accepts latitude/longitude from the client and computes distance server-side. A user can submit spoofed coordinates to check in from anywhere. This is inherent to GPS-based attendance systems. For the current use case (small business attendance), this is acceptable. For higher-security needs, consider requiring a time-based code displayed at the office (already supported via 'code' and 'qr' methods) as the primary attendance method, with geo as supplementary.</w:t>
      </w:r>
    </w:p>
    <w:p>
      <w:r>
        <w:br w:type="page"/>
      </w:r>
    </w:p>
    <w:p>
      <w:pPr>
        <w:pStyle w:val="Heading1"/>
        <w:spacing w:after="120" w:before="300"/>
      </w:pPr>
      <w:r>
        <w:t xml:space="preserve">6. Scalability Analysis</w:t>
      </w:r>
    </w:p>
    <w:p>
      <w:pPr>
        <w:spacing w:after="120"/>
      </w:pPr>
      <w:r>
        <w:rPr>
          <w:rFonts w:ascii="Arial" w:cs="Arial" w:eastAsia="Arial" w:hAnsi="Arial"/>
          <w:sz w:val="22"/>
          <w:szCs w:val="22"/>
        </w:rPr>
        <w:t xml:space="preserve">This section analyses how the system behaves at different user scales and identifies the first bottleneck at each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Scale</w:t>
            </w:r>
          </w:p>
        </w:tc>
        <w:tc>
          <w:tcPr>
            <w:tcW w:type="dxa" w:w="25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Firestore Cost/Month</w:t>
            </w:r>
          </w:p>
        </w:tc>
        <w:tc>
          <w:tcPr>
            <w:tcW w:type="dxa" w:w="25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Primary Bottleneck</w:t>
            </w:r>
          </w:p>
        </w:tc>
        <w:tc>
          <w:tcPr>
            <w:tcW w:type="dxa" w:w="252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Action Required</w:t>
            </w:r>
          </w:p>
        </w:tc>
      </w:tr>
      <w:tr>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100 users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~$5-15</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None</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None</w:t>
            </w:r>
          </w:p>
        </w:tc>
      </w:tr>
      <w:tr>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1,000 users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~$50-150</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Search prefix index writes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Reduce prefix count (M3)</w:t>
            </w:r>
          </w:p>
        </w:tc>
      </w:tr>
      <w:tr>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10,000 users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~$500-1,500</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Analytics trigger fan-out</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Add batch analytics (H2)</w:t>
            </w:r>
          </w:p>
        </w:tc>
      </w:tr>
      <w:tr>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50,000 users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~$3,000-8,000</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Broadcast notifications (M6)</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Migrate to FCM Topics</w:t>
            </w:r>
          </w:p>
        </w:tc>
      </w:tr>
      <w:tr>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100,000+ users</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~$8,000-20,000</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Invoice collection size</w:t>
            </w:r>
          </w:p>
        </w:tc>
        <w:tc>
          <w:tcPr>
            <w:tcW w:type="dxa" w:w="252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Shard by year or tenant</w:t>
            </w:r>
          </w:p>
        </w:tc>
      </w:tr>
    </w:tbl>
    <w:p>
      <w:pPr>
        <w:spacing w:before="200"/>
      </w:pPr>
    </w:p>
    <w:p>
      <w:pPr>
        <w:spacing w:after="120"/>
      </w:pPr>
      <w:r>
        <w:rPr>
          <w:rFonts w:ascii="Arial" w:cs="Arial" w:eastAsia="Arial" w:hAnsi="Arial"/>
          <w:b/>
          <w:bCs/>
          <w:sz w:val="22"/>
          <w:szCs w:val="22"/>
        </w:rPr>
        <w:t xml:space="preserve">Key Scalability Observations:</w:t>
      </w:r>
    </w:p>
    <w:p>
      <w:pPr>
        <w:pStyle w:val="ListParagraph"/>
        <w:numPr>
          <w:ilvl w:val="0"/>
          <w:numId w:val="2"/>
        </w:numPr>
      </w:pPr>
      <w:r>
        <w:rPr>
          <w:rFonts w:ascii="Arial" w:cs="Arial" w:eastAsia="Arial" w:hAnsi="Arial"/>
          <w:sz w:val="22"/>
          <w:szCs w:val="22"/>
        </w:rPr>
        <w:t xml:space="preserve">Invoice documents are stored at the top-level (/invoices/{id}) with an ownerId field. This is a sound design for moderate scale but becomes a hot collection at 100K+ users. At that scale, consider partitioning into /invoices_2026/{id}, /invoices_2027/{id} by year.</w:t>
      </w:r>
    </w:p>
    <w:p>
      <w:pPr>
        <w:pStyle w:val="ListParagraph"/>
        <w:numPr>
          <w:ilvl w:val="0"/>
          <w:numId w:val="2"/>
        </w:numPr>
      </w:pPr>
      <w:r>
        <w:rPr>
          <w:rFonts w:ascii="Arial" w:cs="Arial" w:eastAsia="Arial" w:hAnsi="Arial"/>
          <w:sz w:val="22"/>
          <w:szCs w:val="22"/>
        </w:rPr>
        <w:t xml:space="preserve">The syncInvoiceAnalytics trigger fires on every invoice write. At 1,000 invoices/day, that is 1,000 Cloud Function invocations for analytics alone. This is acceptable for current scale but should be batch-aggregated at 10K+ invoices/day.</w:t>
      </w:r>
    </w:p>
    <w:p>
      <w:pPr>
        <w:pStyle w:val="ListParagraph"/>
        <w:numPr>
          <w:ilvl w:val="0"/>
          <w:numId w:val="2"/>
        </w:numPr>
      </w:pPr>
      <w:r>
        <w:rPr>
          <w:rFonts w:ascii="Arial" w:cs="Arial" w:eastAsia="Arial" w:hAnsi="Arial"/>
          <w:sz w:val="22"/>
          <w:szCs w:val="22"/>
        </w:rPr>
        <w:t xml:space="preserve">Firestore's 500-write batch limit is correctly observed throughout the codebase (customer_group_service.dart, scheduled functions). This is good.</w:t>
      </w:r>
    </w:p>
    <w:p>
      <w:pPr>
        <w:pStyle w:val="ListParagraph"/>
        <w:numPr>
          <w:ilvl w:val="0"/>
          <w:numId w:val="2"/>
        </w:numPr>
      </w:pPr>
      <w:r>
        <w:rPr>
          <w:rFonts w:ascii="Arial" w:cs="Arial" w:eastAsia="Arial" w:hAnsi="Arial"/>
          <w:sz w:val="22"/>
          <w:szCs w:val="22"/>
        </w:rPr>
        <w:t xml:space="preserve">Pagination is implemented correctly via cursor-based queries (FirestorePage helper) rather than offset-based, which scales well.</w:t>
      </w:r>
    </w:p>
    <w:p>
      <w:r>
        <w:br w:type="page"/>
      </w:r>
    </w:p>
    <w:p>
      <w:pPr>
        <w:pStyle w:val="Heading1"/>
        <w:spacing w:after="120" w:before="300"/>
      </w:pPr>
      <w:r>
        <w:t xml:space="preserve">7. Prioritised Remediation Plan</w:t>
      </w:r>
    </w:p>
    <w:p>
      <w:pPr>
        <w:spacing w:after="120"/>
      </w:pPr>
      <w:r>
        <w:rPr>
          <w:rFonts w:ascii="Arial" w:cs="Arial" w:eastAsia="Arial" w:hAnsi="Arial"/>
          <w:sz w:val="22"/>
          <w:szCs w:val="22"/>
        </w:rPr>
        <w:t xml:space="preserve">All remedies are ranked by risk-weighted impact and ordered so earlier fixes do not depend on later ones. Estimated effort assumes a single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200"/>
        <w:gridCol w:w="1100"/>
        <w:gridCol w:w="1100"/>
        <w:gridCol w:w="2260"/>
      </w:tblGrid>
      <w:tr>
        <w:tc>
          <w:tcPr>
            <w:tcW w:type="dxa" w:w="6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1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2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1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10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260"/>
            <w:tcBorders>
              <w:top w:val="single" w:color="D0D5DD" w:sz="1"/>
              <w:left w:val="single" w:color="D0D5DD" w:sz="1"/>
              <w:bottom w:val="single" w:color="D0D5DD" w:sz="1"/>
              <w:right w:val="single" w:color="D0D5DD"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C2</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enforceAppCheck: true to all onCall functions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2 hours</w:t>
            </w:r>
          </w:p>
        </w:tc>
        <w:tc>
          <w:tcPr>
            <w:tcW w:type="dxa" w:w="11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sz w:val="19"/>
                <w:szCs w:val="19"/>
              </w:rPr>
              <w:t xml:space="preserve">CRITICAL</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2</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C1</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Restrict API keys in GCP Console + rotate</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 hour</w:t>
            </w:r>
          </w:p>
        </w:tc>
        <w:tc>
          <w:tcPr>
            <w:tcW w:type="dxa" w:w="11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sz w:val="19"/>
                <w:szCs w:val="19"/>
              </w:rPr>
              <w:t xml:space="preserve">CRITICAL</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C3</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Fix webhook secret loading to request-time only</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30 min</w:t>
            </w:r>
          </w:p>
        </w:tc>
        <w:tc>
          <w:tcPr>
            <w:tcW w:type="dxa" w:w="1100"/>
            <w:tcBorders>
              <w:top w:val="single" w:color="D0D5DD" w:sz="1"/>
              <w:left w:val="single" w:color="D0D5DD" w:sz="1"/>
              <w:bottom w:val="single" w:color="D0D5DD" w:sz="1"/>
              <w:right w:val="single" w:color="D0D5DD" w:sz="1"/>
            </w:tcBorders>
            <w:shd w:fill="FEE2E2" w:val="clear"/>
            <w:tcMar>
              <w:top w:type="dxa" w:w="60"/>
              <w:left w:type="dxa" w:w="100"/>
              <w:bottom w:type="dxa" w:w="60"/>
              <w:right w:type="dxa" w:w="100"/>
            </w:tcMar>
          </w:tcPr>
          <w:p>
            <w:r>
              <w:rPr>
                <w:rFonts w:ascii="Arial" w:cs="Arial" w:eastAsia="Arial" w:hAnsi="Arial"/>
                <w:b/>
                <w:bCs/>
                <w:sz w:val="19"/>
                <w:szCs w:val="19"/>
              </w:rPr>
              <w:t xml:space="preserve">CRITICAL</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4</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H5</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billingLocks deny rule + subscription schema validation</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 hour</w:t>
            </w:r>
          </w:p>
        </w:tc>
        <w:tc>
          <w:tcPr>
            <w:tcW w:type="dxa" w:w="110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r>
              <w:rPr>
                <w:rFonts w:ascii="Arial" w:cs="Arial" w:eastAsia="Arial" w:hAnsi="Arial"/>
                <w:b/>
                <w:bCs/>
                <w:sz w:val="19"/>
                <w:szCs w:val="19"/>
              </w:rPr>
              <w:t xml:space="preserve">HIGH</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5</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H1</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payload size/length validation to all Cloud Functions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 hours</w:t>
            </w:r>
          </w:p>
        </w:tc>
        <w:tc>
          <w:tcPr>
            <w:tcW w:type="dxa" w:w="110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r>
              <w:rPr>
                <w:rFonts w:ascii="Arial" w:cs="Arial" w:eastAsia="Arial" w:hAnsi="Arial"/>
                <w:b/>
                <w:bCs/>
                <w:sz w:val="19"/>
                <w:szCs w:val="19"/>
              </w:rPr>
              <w:t xml:space="preserve">HIGH</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6</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M7</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Wrap all debugPrint in kDebugMode checks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 hour</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7</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M4</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explicit timeouts to all httpsCallable calls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2 hours</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8</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M3</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Reduce search prefix limits (60-&gt;30, length 20-&gt;10)</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 hour</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9</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H2</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normalization sentinel field + max-writes guard</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2 hours</w:t>
            </w:r>
          </w:p>
        </w:tc>
        <w:tc>
          <w:tcPr>
            <w:tcW w:type="dxa" w:w="110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r>
              <w:rPr>
                <w:rFonts w:ascii="Arial" w:cs="Arial" w:eastAsia="Arial" w:hAnsi="Arial"/>
                <w:b/>
                <w:bCs/>
                <w:sz w:val="19"/>
                <w:szCs w:val="19"/>
              </w:rPr>
              <w:t xml:space="preserve">HIGH</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#8</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10</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H3</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Move product cleanup to Cloud Function</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4 hours</w:t>
            </w:r>
          </w:p>
        </w:tc>
        <w:tc>
          <w:tcPr>
            <w:tcW w:type="dxa" w:w="110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r>
              <w:rPr>
                <w:rFonts w:ascii="Arial" w:cs="Arial" w:eastAsia="Arial" w:hAnsi="Arial"/>
                <w:b/>
                <w:bCs/>
                <w:sz w:val="19"/>
                <w:szCs w:val="19"/>
              </w:rPr>
              <w:t xml:space="preserve">HIGH</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11</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M5</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scheduled rate_limits cleanup function</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2 hours</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12</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M6</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Migrate broadcast notifications to FCM Topics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 hours</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13</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H4</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'pending' badge for offline invoices + widen lane</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 hours</w:t>
            </w:r>
          </w:p>
        </w:tc>
        <w:tc>
          <w:tcPr>
            <w:tcW w:type="dxa" w:w="1100"/>
            <w:tcBorders>
              <w:top w:val="single" w:color="D0D5DD" w:sz="1"/>
              <w:left w:val="single" w:color="D0D5DD" w:sz="1"/>
              <w:bottom w:val="single" w:color="D0D5DD" w:sz="1"/>
              <w:right w:val="single" w:color="D0D5DD" w:sz="1"/>
            </w:tcBorders>
            <w:shd w:fill="FEF3C7" w:val="clear"/>
            <w:tcMar>
              <w:top w:type="dxa" w:w="60"/>
              <w:left w:type="dxa" w:w="100"/>
              <w:bottom w:type="dxa" w:w="60"/>
              <w:right w:type="dxa" w:w="100"/>
            </w:tcMar>
          </w:tcPr>
          <w:p>
            <w:r>
              <w:rPr>
                <w:rFonts w:ascii="Arial" w:cs="Arial" w:eastAsia="Arial" w:hAnsi="Arial"/>
                <w:b/>
                <w:bCs/>
                <w:sz w:val="19"/>
                <w:szCs w:val="19"/>
              </w:rPr>
              <w:t xml:space="preserve">HIGH</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14</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M1</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server-side session check for sensitive operations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4 hours</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15</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M2</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Reduce Firestore cache to 50 MB + add eviction</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 hour</w:t>
            </w:r>
          </w:p>
        </w:tc>
        <w:tc>
          <w:tcPr>
            <w:tcW w:type="dxa" w:w="1100"/>
            <w:tcBorders>
              <w:top w:val="single" w:color="D0D5DD" w:sz="1"/>
              <w:left w:val="single" w:color="D0D5DD" w:sz="1"/>
              <w:bottom w:val="single" w:color="D0D5DD" w:sz="1"/>
              <w:right w:val="single" w:color="D0D5DD" w:sz="1"/>
            </w:tcBorders>
            <w:shd w:fill="DBEAFE" w:val="clear"/>
            <w:tcMar>
              <w:top w:type="dxa" w:w="60"/>
              <w:left w:type="dxa" w:w="100"/>
              <w:bottom w:type="dxa" w:w="60"/>
              <w:right w:type="dxa" w:w="100"/>
            </w:tcMar>
          </w:tcPr>
          <w:p>
            <w:r>
              <w:rPr>
                <w:rFonts w:ascii="Arial" w:cs="Arial" w:eastAsia="Arial" w:hAnsi="Arial"/>
                <w:b/>
                <w:bCs/>
                <w:sz w:val="19"/>
                <w:szCs w:val="19"/>
              </w:rPr>
              <w:t xml:space="preserve">MEDIUM</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16</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L1</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Add unit tests for financial calculations</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8 hours</w:t>
            </w:r>
          </w:p>
        </w:tc>
        <w:tc>
          <w:tcPr>
            <w:tcW w:type="dxa" w:w="1100"/>
            <w:tcBorders>
              <w:top w:val="single" w:color="D0D5DD" w:sz="1"/>
              <w:left w:val="single" w:color="D0D5DD" w:sz="1"/>
              <w:bottom w:val="single" w:color="D0D5DD" w:sz="1"/>
              <w:right w:val="single" w:color="D0D5DD" w:sz="1"/>
            </w:tcBorders>
            <w:shd w:fill="F3F4F6" w:val="clear"/>
            <w:tcMar>
              <w:top w:type="dxa" w:w="60"/>
              <w:left w:type="dxa" w:w="100"/>
              <w:bottom w:type="dxa" w:w="60"/>
              <w:right w:type="dxa" w:w="100"/>
            </w:tcMar>
          </w:tcPr>
          <w:p>
            <w:r>
              <w:rPr>
                <w:rFonts w:ascii="Arial" w:cs="Arial" w:eastAsia="Arial" w:hAnsi="Arial"/>
                <w:b/>
                <w:bCs/>
                <w:sz w:val="19"/>
                <w:szCs w:val="19"/>
              </w:rPr>
              <w:t xml:space="preserve">LOW</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17</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L3</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Wire npm test into CI/pre-deploy</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30 min</w:t>
            </w:r>
          </w:p>
        </w:tc>
        <w:tc>
          <w:tcPr>
            <w:tcW w:type="dxa" w:w="1100"/>
            <w:tcBorders>
              <w:top w:val="single" w:color="D0D5DD" w:sz="1"/>
              <w:left w:val="single" w:color="D0D5DD" w:sz="1"/>
              <w:bottom w:val="single" w:color="D0D5DD" w:sz="1"/>
              <w:right w:val="single" w:color="D0D5DD" w:sz="1"/>
            </w:tcBorders>
            <w:shd w:fill="F3F4F6" w:val="clear"/>
            <w:tcMar>
              <w:top w:type="dxa" w:w="60"/>
              <w:left w:type="dxa" w:w="100"/>
              <w:bottom w:type="dxa" w:w="60"/>
              <w:right w:type="dxa" w:w="100"/>
            </w:tcMar>
          </w:tcPr>
          <w:p>
            <w:r>
              <w:rPr>
                <w:rFonts w:ascii="Arial" w:cs="Arial" w:eastAsia="Arial" w:hAnsi="Arial"/>
                <w:b/>
                <w:bCs/>
                <w:sz w:val="19"/>
                <w:szCs w:val="19"/>
              </w:rPr>
              <w:t xml:space="preserve">LOW</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18</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L2</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Verify partiallyPaid index coverage</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15 min</w:t>
            </w:r>
          </w:p>
        </w:tc>
        <w:tc>
          <w:tcPr>
            <w:tcW w:type="dxa" w:w="1100"/>
            <w:tcBorders>
              <w:top w:val="single" w:color="D0D5DD" w:sz="1"/>
              <w:left w:val="single" w:color="D0D5DD" w:sz="1"/>
              <w:bottom w:val="single" w:color="D0D5DD" w:sz="1"/>
              <w:right w:val="single" w:color="D0D5DD" w:sz="1"/>
            </w:tcBorders>
            <w:shd w:fill="F3F4F6" w:val="clear"/>
            <w:tcMar>
              <w:top w:type="dxa" w:w="60"/>
              <w:left w:type="dxa" w:w="100"/>
              <w:bottom w:type="dxa" w:w="60"/>
              <w:right w:type="dxa" w:w="100"/>
            </w:tcMar>
          </w:tcPr>
          <w:p>
            <w:r>
              <w:rPr>
                <w:rFonts w:ascii="Arial" w:cs="Arial" w:eastAsia="Arial" w:hAnsi="Arial"/>
                <w:b/>
                <w:bCs/>
                <w:sz w:val="19"/>
                <w:szCs w:val="19"/>
              </w:rPr>
              <w:t xml:space="preserve">LOW</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19</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b/>
                <w:bCs/>
                <w:sz w:val="22"/>
                <w:szCs w:val="22"/>
              </w:rPr>
              <w:t xml:space="preserve">L4</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Document GPS spoofing limitation</w:t>
            </w:r>
          </w:p>
        </w:tc>
        <w:tc>
          <w:tcPr>
            <w:tcW w:type="dxa" w:w="11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2"/>
                <w:szCs w:val="22"/>
              </w:rPr>
              <w:t xml:space="preserve">15 min</w:t>
            </w:r>
          </w:p>
        </w:tc>
        <w:tc>
          <w:tcPr>
            <w:tcW w:type="dxa" w:w="1100"/>
            <w:tcBorders>
              <w:top w:val="single" w:color="D0D5DD" w:sz="1"/>
              <w:left w:val="single" w:color="D0D5DD" w:sz="1"/>
              <w:bottom w:val="single" w:color="D0D5DD" w:sz="1"/>
              <w:right w:val="single" w:color="D0D5DD" w:sz="1"/>
            </w:tcBorders>
            <w:shd w:fill="F3F4F6" w:val="clear"/>
            <w:tcMar>
              <w:top w:type="dxa" w:w="60"/>
              <w:left w:type="dxa" w:w="100"/>
              <w:bottom w:type="dxa" w:w="60"/>
              <w:right w:type="dxa" w:w="100"/>
            </w:tcMar>
          </w:tcPr>
          <w:p>
            <w:r>
              <w:rPr>
                <w:rFonts w:ascii="Arial" w:cs="Arial" w:eastAsia="Arial" w:hAnsi="Arial"/>
                <w:b/>
                <w:bCs/>
                <w:sz w:val="19"/>
                <w:szCs w:val="19"/>
              </w:rPr>
              <w:t xml:space="preserve">LOW</w:t>
            </w:r>
          </w:p>
        </w:tc>
        <w:tc>
          <w:tcPr>
            <w:tcW w:type="dxa" w:w="22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None</w:t>
            </w:r>
          </w:p>
        </w:tc>
      </w:tr>
    </w:tbl>
    <w:p>
      <w:pPr>
        <w:spacing w:before="200"/>
      </w:pPr>
    </w:p>
    <w:p>
      <w:pPr>
        <w:spacing w:after="120"/>
      </w:pPr>
      <w:r>
        <w:rPr>
          <w:rFonts w:ascii="Arial" w:cs="Arial" w:eastAsia="Arial" w:hAnsi="Arial"/>
          <w:b/>
          <w:bCs/>
          <w:sz w:val="22"/>
          <w:szCs w:val="22"/>
        </w:rPr>
        <w:t xml:space="preserve">Total estimated effort: </w:t>
      </w:r>
      <w:r>
        <w:rPr>
          <w:rFonts w:ascii="Arial" w:cs="Arial" w:eastAsia="Arial" w:hAnsi="Arial"/>
          <w:sz w:val="22"/>
          <w:szCs w:val="22"/>
        </w:rPr>
        <w:t xml:space="preserve">~38 hours (items 1-5 are achievable in a single focused day)</w:t>
      </w:r>
    </w:p>
    <w:p>
      <w:r>
        <w:br w:type="page"/>
      </w:r>
    </w:p>
    <w:p>
      <w:pPr>
        <w:pStyle w:val="Heading1"/>
        <w:spacing w:after="120" w:before="300"/>
      </w:pPr>
      <w:r>
        <w:t xml:space="preserve">8. What Is Already Done Well</w:t>
      </w:r>
    </w:p>
    <w:p>
      <w:pPr>
        <w:spacing w:after="120"/>
      </w:pPr>
      <w:r>
        <w:rPr>
          <w:rFonts w:ascii="Arial" w:cs="Arial" w:eastAsia="Arial" w:hAnsi="Arial"/>
          <w:sz w:val="22"/>
          <w:szCs w:val="22"/>
        </w:rPr>
        <w:t xml:space="preserve">This audit is not just about problems. The following architectural decisions are sound and should be preserved:</w:t>
      </w:r>
    </w:p>
    <w:p>
      <w:pPr>
        <w:pStyle w:val="ListParagraph"/>
        <w:numPr>
          <w:ilvl w:val="0"/>
          <w:numId w:val="2"/>
        </w:numPr>
      </w:pPr>
      <w:r>
        <w:rPr>
          <w:rFonts w:ascii="Arial" w:cs="Arial" w:eastAsia="Arial" w:hAnsi="Arial"/>
          <w:b/>
          <w:bCs/>
          <w:sz w:val="22"/>
          <w:szCs w:val="22"/>
        </w:rPr>
        <w:t xml:space="preserve">Atomic invoice number generation: </w:t>
      </w:r>
      <w:r>
        <w:rPr>
          <w:rFonts w:ascii="Arial" w:cs="Arial" w:eastAsia="Arial" w:hAnsi="Arial"/>
          <w:sz w:val="22"/>
          <w:szCs w:val="22"/>
        </w:rPr>
        <w:t xml:space="preserve">The reserveInvoiceNumber Cloud Function uses Firestore transactions with a claims sub-collection to guarantee uniqueness. This is production-grade.</w:t>
      </w:r>
    </w:p>
    <w:p>
      <w:pPr>
        <w:pStyle w:val="ListParagraph"/>
        <w:numPr>
          <w:ilvl w:val="0"/>
          <w:numId w:val="2"/>
        </w:numPr>
      </w:pPr>
      <w:r>
        <w:rPr>
          <w:rFonts w:ascii="Arial" w:cs="Arial" w:eastAsia="Arial" w:hAnsi="Arial"/>
          <w:b/>
          <w:bCs/>
          <w:sz w:val="22"/>
          <w:szCs w:val="22"/>
        </w:rPr>
        <w:t xml:space="preserve">Financial invariant enforcement in security rules: </w:t>
      </w:r>
      <w:r>
        <w:rPr>
          <w:rFonts w:ascii="Arial" w:cs="Arial" w:eastAsia="Arial" w:hAnsi="Arial"/>
          <w:sz w:val="22"/>
          <w:szCs w:val="22"/>
        </w:rPr>
        <w:t xml:space="preserve">The Firestore rules validate grandTotal == taxableAmount + totalTax at the rules level. This is a strong defence against client-side tampering.</w:t>
      </w:r>
    </w:p>
    <w:p>
      <w:pPr>
        <w:pStyle w:val="ListParagraph"/>
        <w:numPr>
          <w:ilvl w:val="0"/>
          <w:numId w:val="2"/>
        </w:numPr>
      </w:pPr>
      <w:r>
        <w:rPr>
          <w:rFonts w:ascii="Arial" w:cs="Arial" w:eastAsia="Arial" w:hAnsi="Arial"/>
          <w:b/>
          <w:bCs/>
          <w:sz w:val="22"/>
          <w:szCs w:val="22"/>
        </w:rPr>
        <w:t xml:space="preserve">Razorpay signature verification: </w:t>
      </w:r>
      <w:r>
        <w:rPr>
          <w:rFonts w:ascii="Arial" w:cs="Arial" w:eastAsia="Arial" w:hAnsi="Arial"/>
          <w:sz w:val="22"/>
          <w:szCs w:val="22"/>
        </w:rPr>
        <w:t xml:space="preserve">HMAC-SHA256 verification for both webhook events and client-side payment confirmation. The idempotent event processing via razorpayEvents collection prevents double-processing.</w:t>
      </w:r>
    </w:p>
    <w:p>
      <w:pPr>
        <w:pStyle w:val="ListParagraph"/>
        <w:numPr>
          <w:ilvl w:val="0"/>
          <w:numId w:val="2"/>
        </w:numPr>
      </w:pPr>
      <w:r>
        <w:rPr>
          <w:rFonts w:ascii="Arial" w:cs="Arial" w:eastAsia="Arial" w:hAnsi="Arial"/>
          <w:b/>
          <w:bCs/>
          <w:sz w:val="22"/>
          <w:szCs w:val="22"/>
        </w:rPr>
        <w:t xml:space="preserve">Billing lock mechanism: </w:t>
      </w:r>
      <w:r>
        <w:rPr>
          <w:rFonts w:ascii="Arial" w:cs="Arial" w:eastAsia="Arial" w:hAnsi="Arial"/>
          <w:sz w:val="22"/>
          <w:szCs w:val="22"/>
        </w:rPr>
        <w:t xml:space="preserve">The acquireOwnerBillingLock/releaseOwnerBillingLock pattern prevents race conditions during concurrent subscription changes. TTL-based expiry ensures locks don't become permanent.</w:t>
      </w:r>
    </w:p>
    <w:p>
      <w:pPr>
        <w:pStyle w:val="ListParagraph"/>
        <w:numPr>
          <w:ilvl w:val="0"/>
          <w:numId w:val="2"/>
        </w:numPr>
      </w:pPr>
      <w:r>
        <w:rPr>
          <w:rFonts w:ascii="Arial" w:cs="Arial" w:eastAsia="Arial" w:hAnsi="Arial"/>
          <w:b/>
          <w:bCs/>
          <w:sz w:val="22"/>
          <w:szCs w:val="22"/>
        </w:rPr>
        <w:t xml:space="preserve">Team permission model: </w:t>
      </w:r>
      <w:r>
        <w:rPr>
          <w:rFonts w:ascii="Arial" w:cs="Arial" w:eastAsia="Arial" w:hAnsi="Arial"/>
          <w:sz w:val="22"/>
          <w:szCs w:val="22"/>
        </w:rPr>
        <w:t xml:space="preserve">Five-role hierarchy (owner/coOwner/manager/sales/viewer) with per-role overrides stored in Firestore. The EffectivePermissions class correctly merges defaults with overrides and preserves owner-only permissions as non-overridable.</w:t>
      </w:r>
    </w:p>
    <w:p>
      <w:pPr>
        <w:pStyle w:val="ListParagraph"/>
        <w:numPr>
          <w:ilvl w:val="0"/>
          <w:numId w:val="2"/>
        </w:numPr>
      </w:pPr>
      <w:r>
        <w:rPr>
          <w:rFonts w:ascii="Arial" w:cs="Arial" w:eastAsia="Arial" w:hAnsi="Arial"/>
          <w:b/>
          <w:bCs/>
          <w:sz w:val="22"/>
          <w:szCs w:val="22"/>
        </w:rPr>
        <w:t xml:space="preserve">Offline-first design: </w:t>
      </w:r>
      <w:r>
        <w:rPr>
          <w:rFonts w:ascii="Arial" w:cs="Arial" w:eastAsia="Arial" w:hAnsi="Arial"/>
          <w:sz w:val="22"/>
          <w:szCs w:val="22"/>
        </w:rPr>
        <w:t xml:space="preserve">The device-scoped offline invoice numbering, SharedPreferences caching, and connectivity-aware writes demonstrate mature offline handling.</w:t>
      </w:r>
    </w:p>
    <w:p>
      <w:pPr>
        <w:pStyle w:val="ListParagraph"/>
        <w:numPr>
          <w:ilvl w:val="0"/>
          <w:numId w:val="2"/>
        </w:numPr>
      </w:pPr>
      <w:r>
        <w:rPr>
          <w:rFonts w:ascii="Arial" w:cs="Arial" w:eastAsia="Arial" w:hAnsi="Arial"/>
          <w:b/>
          <w:bCs/>
          <w:sz w:val="22"/>
          <w:szCs w:val="22"/>
        </w:rPr>
        <w:t xml:space="preserve">Defence-in-depth for account deletion: </w:t>
      </w:r>
      <w:r>
        <w:rPr>
          <w:rFonts w:ascii="Arial" w:cs="Arial" w:eastAsia="Arial" w:hAnsi="Arial"/>
          <w:sz w:val="22"/>
          <w:szCs w:val="22"/>
        </w:rPr>
        <w:t xml:space="preserve">deleteMyAccount requires recent authentication, marks trial as used before deletion (preventing re-signup abuse), cancels Razorpay subscriptions, cleans up Firestore and Storage, and deletes the Auth user last.</w:t>
      </w:r>
    </w:p>
    <w:p>
      <w:pPr>
        <w:pStyle w:val="ListParagraph"/>
        <w:numPr>
          <w:ilvl w:val="0"/>
          <w:numId w:val="2"/>
        </w:numPr>
      </w:pPr>
      <w:r>
        <w:rPr>
          <w:rFonts w:ascii="Arial" w:cs="Arial" w:eastAsia="Arial" w:hAnsi="Arial"/>
          <w:b/>
          <w:bCs/>
          <w:sz w:val="22"/>
          <w:szCs w:val="22"/>
        </w:rPr>
        <w:t xml:space="preserve">Security headers on HTTP endpoints: </w:t>
      </w:r>
      <w:r>
        <w:rPr>
          <w:rFonts w:ascii="Arial" w:cs="Arial" w:eastAsia="Arial" w:hAnsi="Arial"/>
          <w:sz w:val="22"/>
          <w:szCs w:val="22"/>
        </w:rPr>
        <w:t xml:space="preserve">setSecurityHeaders correctly sets HSTS, CSP, X-Frame-Options, X-Content-Type-Options, and Referrer-Policy on all onRequest handlers.</w:t>
      </w:r>
    </w:p>
    <w:p>
      <w:pPr>
        <w:pStyle w:val="ListParagraph"/>
        <w:numPr>
          <w:ilvl w:val="0"/>
          <w:numId w:val="2"/>
        </w:numPr>
      </w:pPr>
      <w:r>
        <w:rPr>
          <w:rFonts w:ascii="Arial" w:cs="Arial" w:eastAsia="Arial" w:hAnsi="Arial"/>
          <w:b/>
          <w:bCs/>
          <w:sz w:val="22"/>
          <w:szCs w:val="22"/>
        </w:rPr>
        <w:t xml:space="preserve">Scheduled maintenance jobs: </w:t>
      </w:r>
      <w:r>
        <w:rPr>
          <w:rFonts w:ascii="Arial" w:cs="Arial" w:eastAsia="Arial" w:hAnsi="Arial"/>
          <w:sz w:val="22"/>
          <w:szCs w:val="22"/>
        </w:rPr>
        <w:t xml:space="preserve">The cron jobs for overdue invoices, expired invites, membership state transitions, subscription expiry, and shared invoice cleanup form a comprehensive background maintenance layer.</w:t>
      </w:r>
    </w:p>
    <w:p>
      <w:pPr>
        <w:pStyle w:val="ListParagraph"/>
        <w:numPr>
          <w:ilvl w:val="0"/>
          <w:numId w:val="2"/>
        </w:numPr>
      </w:pPr>
      <w:r>
        <w:rPr>
          <w:rFonts w:ascii="Arial" w:cs="Arial" w:eastAsia="Arial" w:hAnsi="Arial"/>
          <w:b/>
          <w:bCs/>
          <w:sz w:val="22"/>
          <w:szCs w:val="22"/>
        </w:rPr>
        <w:t xml:space="preserve">Audit logging: </w:t>
      </w:r>
      <w:r>
        <w:rPr>
          <w:rFonts w:ascii="Arial" w:cs="Arial" w:eastAsia="Arial" w:hAnsi="Arial"/>
          <w:sz w:val="22"/>
          <w:szCs w:val="22"/>
        </w:rPr>
        <w:t xml:space="preserve">Team operations write to an auditLogs sub-collection for compliance traceability.</w:t>
      </w:r>
    </w:p>
    <w:p>
      <w:pPr>
        <w:pBdr>
          <w:top w:val="single" w:color="1E3A5F" w:sz="2" w:space="8"/>
        </w:pBdr>
        <w:spacing w:before="400"/>
      </w:pPr>
    </w:p>
    <w:p>
      <w:pPr>
        <w:spacing w:after="120"/>
      </w:pPr>
      <w:r>
        <w:rPr>
          <w:rFonts w:ascii="Arial" w:cs="Arial" w:eastAsia="Arial" w:hAnsi="Arial"/>
          <w:i/>
          <w:iCs/>
          <w:color w:val="475467"/>
          <w:sz w:val="22"/>
          <w:szCs w:val="22"/>
        </w:rPr>
        <w:t xml:space="preserve">End of report. All findings are based on static code analysis as of April 8, 2026. Recommendations should be validated with runtime testing before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tabs>
        <w:tab w:val="right" w:pos="9026"/>
      </w:tabs>
    </w:pPr>
    <w:r>
      <w:rPr>
        <w:rFonts w:ascii="Arial" w:cs="Arial" w:eastAsia="Arial" w:hAnsi="Arial"/>
        <w:sz w:val="22"/>
        <w:szCs w:val="22"/>
      </w:rPr>
      <w:t xml:space="preserve">BillRaja Production Readiness Audit</w:t>
    </w:r>
    <w:r>
      <w:t xml:space="preserve">	</w:t>
    </w:r>
    <w:r>
      <w:rPr>
        <w:rFonts w:ascii="Arial" w:cs="Arial" w:eastAsia="Arial" w:hAnsi="Arial"/>
        <w:sz w:val="22"/>
        <w:szCs w:val="2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2026-04-08T09:33:39.701Z</dcterms:created>
  <dcterms:modified xsi:type="dcterms:W3CDTF">2026-04-08T09:33:39.702Z</dcterms:modified>
</cp:coreProperties>
</file>

<file path=docProps/custom.xml><?xml version="1.0" encoding="utf-8"?>
<Properties xmlns="http://schemas.openxmlformats.org/officeDocument/2006/custom-properties" xmlns:vt="http://schemas.openxmlformats.org/officeDocument/2006/docPropsVTypes"/>
</file>