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6DB"/>
          <w:sz w:val="52"/>
          <w:szCs w:val="52"/>
        </w:rPr>
        <w:t xml:space="preserve">GST Report Module</w:t>
      </w:r>
    </w:p>
    <w:p>
      <w:pPr>
        <w:spacing w:after="120"/>
        <w:jc w:val="center"/>
      </w:pPr>
      <w:r>
        <w:rPr>
          <w:rFonts w:ascii="Arial" w:cs="Arial" w:eastAsia="Arial" w:hAnsi="Arial"/>
          <w:color w:val="4B5563"/>
          <w:sz w:val="36"/>
          <w:szCs w:val="36"/>
        </w:rPr>
        <w:t xml:space="preserve">Deep Analysis Report</w:t>
      </w:r>
    </w:p>
    <w:p>
      <w:pPr>
        <w:spacing w:after="600"/>
        <w:jc w:val="center"/>
      </w:pPr>
      <w:r>
        <w:rPr>
          <w:rFonts w:ascii="Arial" w:cs="Arial" w:eastAsia="Arial" w:hAnsi="Arial"/>
          <w:color w:val="6B7280"/>
          <w:sz w:val="24"/>
          <w:szCs w:val="24"/>
        </w:rPr>
        <w:t xml:space="preserve">Logic, Security, Scalability &amp; Remediation Plan</w:t>
      </w:r>
    </w:p>
    <w:p>
      <w:pPr>
        <w:pBdr>
          <w:top w:val="single" w:color="1A56DB" w:sz="2"/>
        </w:pBdr>
        <w:spacing w:before="200"/>
        <w:jc w:val="center"/>
      </w:pPr>
    </w:p>
    <w:p>
      <w:pPr>
        <w:spacing w:after="60" w:before="200"/>
        <w:jc w:val="center"/>
      </w:pPr>
      <w:r>
        <w:rPr>
          <w:rFonts w:ascii="Arial" w:cs="Arial" w:eastAsia="Arial" w:hAnsi="Arial"/>
          <w:b/>
          <w:bCs/>
          <w:color w:val="374151"/>
          <w:sz w:val="24"/>
          <w:szCs w:val="24"/>
        </w:rPr>
        <w:t xml:space="preserve">BillRaja (billeasy)</w:t>
      </w:r>
    </w:p>
    <w:p>
      <w:pPr>
        <w:spacing w:after="60"/>
        <w:jc w:val="center"/>
      </w:pPr>
      <w:r>
        <w:rPr>
          <w:rFonts w:ascii="Arial" w:cs="Arial" w:eastAsia="Arial" w:hAnsi="Arial"/>
          <w:color w:val="6B7280"/>
          <w:sz w:val="22"/>
          <w:szCs w:val="22"/>
        </w:rPr>
        <w:t xml:space="preserve">April 8, 2026</w:t>
      </w:r>
    </w:p>
    <w:p>
      <w:pPr>
        <w:jc w:val="center"/>
      </w:pPr>
      <w:r>
        <w:rPr>
          <w:rFonts w:ascii="Arial" w:cs="Arial" w:eastAsia="Arial" w:hAnsi="Arial"/>
          <w:i/>
          <w:iCs/>
          <w:color w:val="DC2626"/>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A56DB"/>
          <w:sz w:val="32"/>
          <w:szCs w:val="32"/>
        </w:rPr>
        <w:t xml:space="preserve">1. Executive Summary</w:t>
      </w:r>
    </w:p>
    <w:p>
      <w:pPr>
        <w:spacing w:after="120"/>
      </w:pPr>
      <w:r>
        <w:rPr>
          <w:rFonts w:ascii="Arial" w:cs="Arial" w:eastAsia="Arial" w:hAnsi="Arial"/>
          <w:b w:val="false"/>
          <w:bCs w:val="false"/>
          <w:i w:val="false"/>
          <w:iCs w:val="false"/>
          <w:color w:val="374151"/>
          <w:sz w:val="22"/>
          <w:szCs w:val="22"/>
        </w:rPr>
        <w:t xml:space="preserve">This report provides a deep technical analysis of the GST Report module in BillRaja, covering the full data pipeline from Cloud Functions (syncInvoiceAnalytics, syncPurchaseOrderAnalytics) through the AnalyticsService Dart layer to the GstReportScreen UI. The analysis covers calculation logic, team data inclusion, security posture, and scalability. 13 issues were identified across 4 severity levels, with remediation plans that preserve all existing app behavior and user flows.</w:t>
      </w:r>
    </w:p>
    <w:p>
      <w:pPr>
        <w:pStyle w:val="Heading1"/>
        <w:spacing w:after="120" w:before="360"/>
      </w:pPr>
      <w:r>
        <w:rPr>
          <w:rFonts w:ascii="Arial" w:cs="Arial" w:eastAsia="Arial" w:hAnsi="Arial"/>
          <w:b/>
          <w:bCs/>
          <w:color w:val="1A56DB"/>
          <w:sz w:val="32"/>
          <w:szCs w:val="32"/>
        </w:rPr>
        <w:t xml:space="preserve">2. Architecture Overview</w:t>
      </w:r>
    </w:p>
    <w:p>
      <w:pPr>
        <w:spacing w:after="120"/>
      </w:pPr>
      <w:r>
        <w:rPr>
          <w:rFonts w:ascii="Arial" w:cs="Arial" w:eastAsia="Arial" w:hAnsi="Arial"/>
          <w:b w:val="false"/>
          <w:bCs w:val="false"/>
          <w:i w:val="false"/>
          <w:iCs w:val="false"/>
          <w:color w:val="374151"/>
          <w:sz w:val="22"/>
          <w:szCs w:val="22"/>
        </w:rPr>
        <w:t xml:space="preserve">The GST report operates on a pre-aggregated analytics pipeline:</w:t>
      </w:r>
    </w:p>
    <w:p>
      <w:pPr>
        <w:pStyle w:val="ListParagraph"/>
        <w:numPr>
          <w:ilvl w:val="0"/>
          <w:numId w:val="2"/>
        </w:numPr>
        <w:spacing w:after="60"/>
      </w:pPr>
      <w:r>
        <w:rPr>
          <w:rFonts w:ascii="Arial" w:cs="Arial" w:eastAsia="Arial" w:hAnsi="Arial"/>
          <w:color w:val="374151"/>
          <w:sz w:val="22"/>
          <w:szCs w:val="22"/>
        </w:rPr>
        <w:t xml:space="preserve">Invoice/PO creation triggers Cloud Functions (syncInvoiceAnalytics / syncPurchaseOrderAnalytics) on every document write.</w:t>
      </w:r>
    </w:p>
    <w:p>
      <w:pPr>
        <w:pStyle w:val="ListParagraph"/>
        <w:numPr>
          <w:ilvl w:val="0"/>
          <w:numId w:val="2"/>
        </w:numPr>
        <w:spacing w:after="60"/>
      </w:pPr>
      <w:r>
        <w:rPr>
          <w:rFonts w:ascii="Arial" w:cs="Arial" w:eastAsia="Arial" w:hAnsi="Arial"/>
          <w:color w:val="374151"/>
          <w:sz w:val="22"/>
          <w:szCs w:val="22"/>
        </w:rPr>
        <w:t xml:space="preserve">These functions compute derived totals and write incremental deltas (FieldValue.increment) to pre-aggregated period summary documents under /users/{ownerId}/analytics/gstSummaries/periods/{periodDoc}.</w:t>
      </w:r>
    </w:p>
    <w:p>
      <w:pPr>
        <w:pStyle w:val="ListParagraph"/>
        <w:numPr>
          <w:ilvl w:val="0"/>
          <w:numId w:val="2"/>
        </w:numPr>
        <w:spacing w:after="60"/>
      </w:pPr>
      <w:r>
        <w:rPr>
          <w:rFonts w:ascii="Arial" w:cs="Arial" w:eastAsia="Arial" w:hAnsi="Arial"/>
          <w:color w:val="374151"/>
          <w:sz w:val="22"/>
          <w:szCs w:val="22"/>
        </w:rPr>
        <w:t xml:space="preserve">The Flutter AnalyticsService watches these summary docs via Firestore snapshots, providing real-time aggregated totals to the UI.</w:t>
      </w:r>
    </w:p>
    <w:p>
      <w:pPr>
        <w:pStyle w:val="ListParagraph"/>
        <w:numPr>
          <w:ilvl w:val="0"/>
          <w:numId w:val="2"/>
        </w:numPr>
        <w:spacing w:after="60"/>
      </w:pPr>
      <w:r>
        <w:rPr>
          <w:rFonts w:ascii="Arial" w:cs="Arial" w:eastAsia="Arial" w:hAnsi="Arial"/>
          <w:color w:val="374151"/>
          <w:sz w:val="22"/>
          <w:szCs w:val="22"/>
        </w:rPr>
        <w:t xml:space="preserve">The GstReportScreen displays 6 tabs: Output (sales invoices), Input (purchase orders), Net (output minus input), HSN summary, GSTR-3B preview, and Tax Rate breakdown.</w:t>
      </w:r>
    </w:p>
    <w:p>
      <w:pPr>
        <w:pStyle w:val="ListParagraph"/>
        <w:numPr>
          <w:ilvl w:val="0"/>
          <w:numId w:val="2"/>
        </w:numPr>
        <w:spacing w:after="60"/>
      </w:pPr>
      <w:r>
        <w:rPr>
          <w:rFonts w:ascii="Arial" w:cs="Arial" w:eastAsia="Arial" w:hAnsi="Arial"/>
          <w:color w:val="374151"/>
          <w:sz w:val="22"/>
          <w:szCs w:val="22"/>
        </w:rPr>
        <w:t xml:space="preserve">The screen also directly queries invoices and POs for the individual line-item views, paginated at 25 invoices per page.</w:t>
      </w:r>
    </w:p>
    <w:p>
      <w:pPr>
        <w:spacing w:after="120"/>
      </w:pPr>
      <w:r>
        <w:rPr>
          <w:rFonts w:ascii="Arial" w:cs="Arial" w:eastAsia="Arial" w:hAnsi="Arial"/>
          <w:b w:val="false"/>
          <w:bCs w:val="false"/>
          <w:i w:val="false"/>
          <w:iCs w:val="false"/>
          <w:color w:val="374151"/>
          <w:sz w:val="22"/>
          <w:szCs w:val="22"/>
        </w:rPr>
        <w:t xml:space="preserve">Data flow: Invoice write -&gt; Cloud Function -&gt; analytics/{period} doc -&gt; AnalyticsService stream -&gt; UI StreamBuilder. Fallback: if the summary doc is null or loading, the UI computes totals from the locally loaded invoices/POs.</w:t>
      </w:r>
    </w:p>
    <w:p>
      <w:pPr>
        <w:pStyle w:val="Heading1"/>
        <w:spacing w:after="120" w:before="360"/>
      </w:pPr>
      <w:r>
        <w:rPr>
          <w:rFonts w:ascii="Arial" w:cs="Arial" w:eastAsia="Arial" w:hAnsi="Arial"/>
          <w:b/>
          <w:bCs/>
          <w:color w:val="1A56DB"/>
          <w:sz w:val="32"/>
          <w:szCs w:val="32"/>
        </w:rPr>
        <w:t xml:space="preserve">3. Calculation Logic Analysis</w:t>
      </w:r>
    </w:p>
    <w:p>
      <w:pPr>
        <w:pStyle w:val="Heading2"/>
        <w:spacing w:after="120" w:before="240"/>
      </w:pPr>
      <w:r>
        <w:rPr>
          <w:rFonts w:ascii="Arial" w:cs="Arial" w:eastAsia="Arial" w:hAnsi="Arial"/>
          <w:b/>
          <w:bCs/>
          <w:color w:val="1F2937"/>
          <w:sz w:val="26"/>
          <w:szCs w:val="26"/>
        </w:rPr>
        <w:t xml:space="preserve">3.1 Output GST (Sales)</w:t>
      </w:r>
    </w:p>
    <w:p>
      <w:pPr>
        <w:spacing w:after="120"/>
      </w:pPr>
      <w:r>
        <w:rPr>
          <w:rFonts w:ascii="Arial" w:cs="Arial" w:eastAsia="Arial" w:hAnsi="Arial"/>
          <w:b w:val="false"/>
          <w:bCs w:val="false"/>
          <w:i w:val="false"/>
          <w:iCs w:val="false"/>
          <w:color w:val="374151"/>
          <w:sz w:val="22"/>
          <w:szCs w:val="22"/>
        </w:rPr>
        <w:t xml:space="preserve">The Cloud Function buildInvoiceRecord (index.js:3655) recalculates all financial totals server-side from raw line items. Per-item GST is computed by distributing the discount proportionally across items (itemTaxable = itemTotal * taxableAmount / subtotal), then applying each item's GST rate. CGST/SGST split at 50/50 for intra-state; full IGST for inter-state. All amounts are rounded via roundMoney. The function writes a derivedPatch back to the invoice doc for consistency.</w:t>
      </w:r>
    </w:p>
    <w:p>
      <w:pPr>
        <w:spacing w:after="120"/>
      </w:pPr>
      <w:r>
        <w:rPr>
          <w:rFonts w:ascii="Arial" w:cs="Arial" w:eastAsia="Arial" w:hAnsi="Arial"/>
          <w:b w:val="false"/>
          <w:bCs w:val="false"/>
          <w:i w:val="false"/>
          <w:iCs w:val="false"/>
          <w:color w:val="374151"/>
          <w:sz w:val="22"/>
          <w:szCs w:val="22"/>
        </w:rPr>
        <w:t xml:space="preserve">The period bucketing (buildGstPeriods, line 3380) correctly generates monthly, quarterly, and yearly aggregation keys using getIndianDateParts (timezone-aware for Asia/Kolkata).</w:t>
      </w:r>
    </w:p>
    <w:p>
      <w:pPr>
        <w:pStyle w:val="Heading2"/>
        <w:spacing w:after="120" w:before="240"/>
      </w:pPr>
      <w:r>
        <w:rPr>
          <w:rFonts w:ascii="Arial" w:cs="Arial" w:eastAsia="Arial" w:hAnsi="Arial"/>
          <w:b/>
          <w:bCs/>
          <w:color w:val="1F2937"/>
          <w:sz w:val="26"/>
          <w:szCs w:val="26"/>
        </w:rPr>
        <w:t xml:space="preserve">3.2 Input GST (Purchases)</w:t>
      </w:r>
    </w:p>
    <w:p>
      <w:pPr>
        <w:spacing w:after="120"/>
      </w:pPr>
      <w:r>
        <w:rPr>
          <w:rFonts w:ascii="Arial" w:cs="Arial" w:eastAsia="Arial" w:hAnsi="Arial"/>
          <w:b w:val="false"/>
          <w:bCs w:val="false"/>
          <w:i w:val="false"/>
          <w:iCs w:val="false"/>
          <w:color w:val="374151"/>
          <w:sz w:val="22"/>
          <w:szCs w:val="22"/>
        </w:rPr>
        <w:t xml:space="preserve">The syncPurchaseOrderAnalytics function (line 1156) follows the same pattern: buildPoInputGst computes per-item tax with proportional discount distribution, then buildInputGstPeriods writes incremental deltas to the same period documents with input-prefixed field names (inputCgstAmount, inputTotalTax, etc.).</w:t>
      </w:r>
    </w:p>
    <w:p>
      <w:pPr>
        <w:pStyle w:val="Heading2"/>
        <w:spacing w:after="120" w:before="240"/>
      </w:pPr>
      <w:r>
        <w:rPr>
          <w:rFonts w:ascii="Arial" w:cs="Arial" w:eastAsia="Arial" w:hAnsi="Arial"/>
          <w:b/>
          <w:bCs/>
          <w:color w:val="1F2937"/>
          <w:sz w:val="26"/>
          <w:szCs w:val="26"/>
        </w:rPr>
        <w:t xml:space="preserve">3.3 Net GST Calculation</w:t>
      </w:r>
    </w:p>
    <w:p>
      <w:pPr>
        <w:spacing w:after="120"/>
      </w:pPr>
      <w:r>
        <w:rPr>
          <w:rFonts w:ascii="Arial" w:cs="Arial" w:eastAsia="Arial" w:hAnsi="Arial"/>
          <w:b w:val="false"/>
          <w:bCs w:val="false"/>
          <w:i w:val="false"/>
          <w:iCs w:val="false"/>
          <w:color w:val="374151"/>
          <w:sz w:val="22"/>
          <w:szCs w:val="22"/>
        </w:rPr>
        <w:t xml:space="preserve">Net GST Payable = Output Tax - Input Tax. This is computed both in the GstPeriodSummary model (get netGstPayable =&gt; totalTax - inputTotalTax) and in the UI. If negative, it represents ITC (Input Tax Credit) available.</w:t>
      </w:r>
    </w:p>
    <w:p>
      <w:pPr>
        <w:pStyle w:val="Heading2"/>
        <w:spacing w:after="120" w:before="240"/>
      </w:pPr>
      <w:r>
        <w:rPr>
          <w:rFonts w:ascii="Arial" w:cs="Arial" w:eastAsia="Arial" w:hAnsi="Arial"/>
          <w:b/>
          <w:bCs/>
          <w:color w:val="1F2937"/>
          <w:sz w:val="26"/>
          <w:szCs w:val="26"/>
        </w:rPr>
        <w:t xml:space="preserve">3.4 Issues Found in Calculation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none" w:color="FFFFFF" w:sz="0"/>
              <w:left w:val="none" w:color="FFFFFF" w:sz="0"/>
              <w:bottom w:val="single" w:color="D1D5DB" w:sz="2"/>
              <w:right w:val="none" w:color="FFFFFF" w:sz="0"/>
            </w:tcBorders>
            <w:shd w:fill="F3F4F6" w:val="clear"/>
            <w:tcMar>
              <w:top w:type="dxa" w:w="60"/>
              <w:left w:type="dxa" w:w="100"/>
              <w:bottom w:type="dxa" w:w="60"/>
              <w:right w:type="dxa" w:w="100"/>
            </w:tcMar>
          </w:tcPr>
          <w:p>
            <w:r>
              <w:rPr>
                <w:rFonts w:ascii="Arial" w:cs="Arial" w:eastAsia="Arial" w:hAnsi="Arial"/>
                <w:b/>
                <w:bCs/>
                <w:color w:val="6B7280"/>
                <w:sz w:val="18"/>
                <w:szCs w:val="18"/>
              </w:rPr>
              <w:t xml:space="preserve">Severity</w:t>
            </w:r>
          </w:p>
        </w:tc>
        <w:tc>
          <w:tcPr>
            <w:tcW w:type="dxa" w:w="2200"/>
            <w:tcBorders>
              <w:top w:val="none" w:color="FFFFFF" w:sz="0"/>
              <w:left w:val="none" w:color="FFFFFF" w:sz="0"/>
              <w:bottom w:val="single" w:color="D1D5DB" w:sz="2"/>
              <w:right w:val="none" w:color="FFFFFF" w:sz="0"/>
            </w:tcBorders>
            <w:shd w:fill="F3F4F6" w:val="clear"/>
            <w:tcMar>
              <w:top w:type="dxa" w:w="60"/>
              <w:left w:type="dxa" w:w="100"/>
              <w:bottom w:type="dxa" w:w="60"/>
              <w:right w:type="dxa" w:w="100"/>
            </w:tcMar>
          </w:tcPr>
          <w:p>
            <w:r>
              <w:rPr>
                <w:rFonts w:ascii="Arial" w:cs="Arial" w:eastAsia="Arial" w:hAnsi="Arial"/>
                <w:b/>
                <w:bCs/>
                <w:color w:val="6B7280"/>
                <w:sz w:val="18"/>
                <w:szCs w:val="18"/>
              </w:rPr>
              <w:t xml:space="preserve">Issue</w:t>
            </w:r>
          </w:p>
        </w:tc>
        <w:tc>
          <w:tcPr>
            <w:tcW w:type="dxa" w:w="5760"/>
            <w:tcBorders>
              <w:top w:val="none" w:color="FFFFFF" w:sz="0"/>
              <w:left w:val="none" w:color="FFFFFF" w:sz="0"/>
              <w:bottom w:val="single" w:color="D1D5DB" w:sz="2"/>
              <w:right w:val="none" w:color="FFFFFF" w:sz="0"/>
            </w:tcBorders>
            <w:shd w:fill="F3F4F6" w:val="clear"/>
            <w:tcMar>
              <w:top w:type="dxa" w:w="60"/>
              <w:left w:type="dxa" w:w="100"/>
              <w:bottom w:type="dxa" w:w="60"/>
              <w:right w:type="dxa" w:w="100"/>
            </w:tcMar>
          </w:tcPr>
          <w:p>
            <w:r>
              <w:rPr>
                <w:rFonts w:ascii="Arial" w:cs="Arial" w:eastAsia="Arial" w:hAnsi="Arial"/>
                <w:b/>
                <w:bCs/>
                <w:color w:val="6B7280"/>
                <w:sz w:val="18"/>
                <w:szCs w:val="18"/>
              </w:rPr>
              <w:t xml:space="preserve">Details</w:t>
            </w:r>
          </w:p>
        </w:tc>
      </w:tr>
      <w:tr>
        <w:tc>
          <w:tcPr>
            <w:tcW w:type="dxa" w:w="1400"/>
            <w:tcBorders>
              <w:top w:val="none" w:color="FFFFFF" w:sz="0"/>
              <w:left w:val="none" w:color="FFFFFF" w:sz="0"/>
              <w:bottom w:val="none" w:color="FFFFFF" w:sz="0"/>
              <w:right w:val="none" w:color="FFFFFF" w:sz="0"/>
            </w:tcBorders>
            <w:shd w:fill="FEE2E2" w:val="clear"/>
            <w:tcMar>
              <w:top w:type="dxa" w:w="60"/>
              <w:left w:type="dxa" w:w="100"/>
              <w:bottom w:type="dxa" w:w="60"/>
              <w:right w:type="dxa" w:w="100"/>
            </w:tcMar>
          </w:tcPr>
          <w:p>
            <w:pPr>
              <w:jc w:val="center"/>
            </w:pPr>
            <w:r>
              <w:rPr>
                <w:rFonts w:ascii="Arial" w:cs="Arial" w:eastAsia="Arial" w:hAnsi="Arial"/>
                <w:b/>
                <w:bCs/>
                <w:color w:val="DC2626"/>
                <w:sz w:val="18"/>
                <w:szCs w:val="18"/>
              </w:rPr>
              <w:t xml:space="preserve">CRITICAL</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Missing Financial Year Period</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The Cloud Function buildGstPeriods (line 3380) generates monthly, quarterly, and yearly period keys, but does NOT generate a financialYear period key. However, the Flutter UI has a Financial Year selector (_Period.financialYear) that queries for periodType=financialYear. This means the FY tab will ALWAYS show fallback values computed from the loaded invoices (max 25 per page), not the actual server-aggregated totals. For users with more than 25 GST invoices in a financial year, the displayed totals will be incomplete.</w:t>
            </w:r>
          </w:p>
        </w:tc>
      </w:tr>
      <w:tr>
        <w:tc>
          <w:tcPr>
            <w:tcW w:type="dxa" w:w="140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HSN Tax on Pre-Discount Amount</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The _buildHsnTab (line 2049) computes tax as item.total * itemGstRate / 100. Here item.total is the line item total BEFORE discount. But GST law requires tax on the post-discount (taxable) amount. The Cloud Function correctly applies proportional discount before computing tax, but the HSN tab does not. This causes inflated tax figures in the HSN summary for discounted invoices.</w:t>
            </w:r>
          </w:p>
        </w:tc>
      </w:tr>
      <w:tr>
        <w:tc>
          <w:tcPr>
            <w:tcW w:type="dxa" w:w="140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GSTR-3B Uses _invoices Not Summary</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The _buildGstr3bTab (line 2448) separates intrastate vs. interstate from _invoices (the paginated local list, max 25 per page) rather than from the pre-aggregated summary. While the top-level totals come from the summary, the intra/inter breakdown is always computed from a potentially incomplete invoice list.</w:t>
            </w:r>
          </w:p>
        </w:tc>
      </w:tr>
      <w:tr>
        <w:tc>
          <w:tcPr>
            <w:tcW w:type="dxa" w:w="1400"/>
            <w:tcBorders>
              <w:top w:val="none" w:color="FFFFFF" w:sz="0"/>
              <w:left w:val="none" w:color="FFFFFF" w:sz="0"/>
              <w:bottom w:val="none" w:color="FFFFFF" w:sz="0"/>
              <w:right w:val="none" w:color="FFFFFF" w:sz="0"/>
            </w:tcBorders>
            <w:shd w:fill="E8F0FE" w:val="clear"/>
            <w:tcMar>
              <w:top w:type="dxa" w:w="60"/>
              <w:left w:type="dxa" w:w="100"/>
              <w:bottom w:type="dxa" w:w="60"/>
              <w:right w:type="dxa" w:w="100"/>
            </w:tcMar>
          </w:tcPr>
          <w:p>
            <w:pPr>
              <w:jc w:val="center"/>
            </w:pPr>
            <w:r>
              <w:rPr>
                <w:rFonts w:ascii="Arial" w:cs="Arial" w:eastAsia="Arial" w:hAnsi="Arial"/>
                <w:b/>
                <w:bCs/>
                <w:color w:val="1A56DB"/>
                <w:sz w:val="18"/>
                <w:szCs w:val="18"/>
              </w:rPr>
              <w:t xml:space="preserve">MEDIUM</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Fallback Totals From Partial Data</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When the summary stream returns null (first load, no analytics doc yet), the UI falls back to computing totals from _invoices, which is paginated at 25 items. This means fallback totals for a user with 100 GST invoices in a month will only reflect the first 25. The summary cards will show incomplete data until the summary doc arrives.</w:t>
            </w:r>
          </w:p>
        </w:tc>
      </w:tr>
      <w:tr>
        <w:tc>
          <w:tcPr>
            <w:tcW w:type="dxa" w:w="1400"/>
            <w:tcBorders>
              <w:top w:val="none" w:color="FFFFFF" w:sz="0"/>
              <w:left w:val="none" w:color="FFFFFF" w:sz="0"/>
              <w:bottom w:val="none" w:color="FFFFFF" w:sz="0"/>
              <w:right w:val="none" w:color="FFFFFF" w:sz="0"/>
            </w:tcBorders>
            <w:shd w:fill="E8F0FE" w:val="clear"/>
            <w:tcMar>
              <w:top w:type="dxa" w:w="60"/>
              <w:left w:type="dxa" w:w="100"/>
              <w:bottom w:type="dxa" w:w="60"/>
              <w:right w:type="dxa" w:w="100"/>
            </w:tcMar>
          </w:tcPr>
          <w:p>
            <w:pPr>
              <w:jc w:val="center"/>
            </w:pPr>
            <w:r>
              <w:rPr>
                <w:rFonts w:ascii="Arial" w:cs="Arial" w:eastAsia="Arial" w:hAnsi="Arial"/>
                <w:b/>
                <w:bCs/>
                <w:color w:val="1A56DB"/>
                <w:sz w:val="18"/>
                <w:szCs w:val="18"/>
              </w:rPr>
              <w:t xml:space="preserve">MEDIUM</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PO Client-Side Double Filter</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Purchase orders are fetched with gstEnabledOnly: true and status: received at the query level, but then ALSO filtered client-side in getPurchaseOrders (line 91-98). The Firestore query only filters by createdAt range (not by status or gstEnabled at the query level), meaning ALL POs in the date range are fetched from Firestore, then filtered in memory. This wastes bandwidth and reads.</w:t>
            </w:r>
          </w:p>
        </w:tc>
      </w:tr>
    </w:tbl>
    <w:p>
      <w:r>
        <w:br w:type="page"/>
      </w:r>
    </w:p>
    <w:p>
      <w:pPr>
        <w:pStyle w:val="Heading1"/>
        <w:spacing w:after="120" w:before="360"/>
      </w:pPr>
      <w:r>
        <w:rPr>
          <w:rFonts w:ascii="Arial" w:cs="Arial" w:eastAsia="Arial" w:hAnsi="Arial"/>
          <w:b/>
          <w:bCs/>
          <w:color w:val="1A56DB"/>
          <w:sz w:val="32"/>
          <w:szCs w:val="32"/>
        </w:rPr>
        <w:t xml:space="preserve">4. Team Data Inclusion Analysis</w:t>
      </w:r>
    </w:p>
    <w:p>
      <w:pPr>
        <w:spacing w:after="120"/>
      </w:pPr>
      <w:r>
        <w:rPr>
          <w:rFonts w:ascii="Arial" w:cs="Arial" w:eastAsia="Arial" w:hAnsi="Arial"/>
          <w:b w:val="false"/>
          <w:bCs w:val="false"/>
          <w:i w:val="false"/>
          <w:iCs w:val="false"/>
          <w:color w:val="374151"/>
          <w:sz w:val="22"/>
          <w:szCs w:val="22"/>
        </w:rPr>
        <w:t xml:space="preserve">The app uses TeamService.getEffectiveOwnerId() as the pivot for multi-user access. When a team member is logged in, this returns the team owner's UID, so all queries go against the owner's data collections. This means:</w:t>
      </w:r>
    </w:p>
    <w:p>
      <w:pPr>
        <w:pStyle w:val="ListParagraph"/>
        <w:numPr>
          <w:ilvl w:val="0"/>
          <w:numId w:val="3"/>
        </w:numPr>
        <w:spacing w:after="60"/>
      </w:pPr>
      <w:r>
        <w:rPr>
          <w:rFonts w:ascii="Arial" w:cs="Arial" w:eastAsia="Arial" w:hAnsi="Arial"/>
          <w:color w:val="374151"/>
          <w:sz w:val="22"/>
          <w:szCs w:val="22"/>
        </w:rPr>
        <w:t xml:space="preserve">Analytics data is always owner-scoped: all team members see the same aggregated GST report (correct behavior for a shared business).</w:t>
      </w:r>
    </w:p>
    <w:p>
      <w:pPr>
        <w:pStyle w:val="ListParagraph"/>
        <w:numPr>
          <w:ilvl w:val="0"/>
          <w:numId w:val="3"/>
        </w:numPr>
        <w:spacing w:after="60"/>
      </w:pPr>
      <w:r>
        <w:rPr>
          <w:rFonts w:ascii="Arial" w:cs="Arial" w:eastAsia="Arial" w:hAnsi="Arial"/>
          <w:color w:val="374151"/>
          <w:sz w:val="22"/>
          <w:szCs w:val="22"/>
        </w:rPr>
        <w:t xml:space="preserve">Invoice listing respects canViewOthersInvoices permission: if a team member lacks this permission, the query adds a createdByUid filter so they only see their own invoices in the Output tab.</w:t>
      </w:r>
    </w:p>
    <w:p>
      <w:pPr>
        <w:pStyle w:val="ListParagraph"/>
        <w:numPr>
          <w:ilvl w:val="0"/>
          <w:numId w:val="3"/>
        </w:numPr>
        <w:spacing w:after="60"/>
      </w:pPr>
      <w:r>
        <w:rPr>
          <w:rFonts w:ascii="Arial" w:cs="Arial" w:eastAsia="Arial" w:hAnsi="Arial"/>
          <w:color w:val="374151"/>
          <w:sz w:val="22"/>
          <w:szCs w:val="22"/>
        </w:rPr>
        <w:t xml:space="preserve">The same permission gating is applied when exporting (line 561-562), which is consistent.</w:t>
      </w:r>
    </w:p>
    <w:p>
      <w:pPr>
        <w:pStyle w:val="ListParagraph"/>
        <w:numPr>
          <w:ilvl w:val="0"/>
          <w:numId w:val="3"/>
        </w:numPr>
        <w:spacing w:after="60"/>
      </w:pPr>
      <w:r>
        <w:rPr>
          <w:rFonts w:ascii="Arial" w:cs="Arial" w:eastAsia="Arial" w:hAnsi="Arial"/>
          <w:color w:val="374151"/>
          <w:sz w:val="22"/>
          <w:szCs w:val="22"/>
        </w:rPr>
        <w:t xml:space="preserve">Purchase order listing does NOT have equivalent permission gating. All team members see all POs regardless of permissions.</w:t>
      </w:r>
    </w:p>
    <w:p>
      <w:pPr>
        <w:pStyle w:val="Heading2"/>
        <w:spacing w:after="120" w:before="240"/>
      </w:pPr>
      <w:r>
        <w:rPr>
          <w:rFonts w:ascii="Arial" w:cs="Arial" w:eastAsia="Arial" w:hAnsi="Arial"/>
          <w:b/>
          <w:bCs/>
          <w:color w:val="1F2937"/>
          <w:sz w:val="26"/>
          <w:szCs w:val="26"/>
        </w:rPr>
        <w:t xml:space="preserve">4.1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none" w:color="FFFFFF" w:sz="0"/>
              <w:left w:val="none" w:color="FFFFFF" w:sz="0"/>
              <w:bottom w:val="single" w:color="D1D5DB" w:sz="2"/>
              <w:right w:val="none" w:color="FFFFFF" w:sz="0"/>
            </w:tcBorders>
            <w:shd w:fill="F3F4F6" w:val="clear"/>
            <w:tcMar>
              <w:top w:type="dxa" w:w="60"/>
              <w:left w:type="dxa" w:w="100"/>
              <w:bottom w:type="dxa" w:w="60"/>
              <w:right w:type="dxa" w:w="100"/>
            </w:tcMar>
          </w:tcPr>
          <w:p>
            <w:r>
              <w:rPr>
                <w:rFonts w:ascii="Arial" w:cs="Arial" w:eastAsia="Arial" w:hAnsi="Arial"/>
                <w:b/>
                <w:bCs/>
                <w:color w:val="6B7280"/>
                <w:sz w:val="18"/>
                <w:szCs w:val="18"/>
              </w:rPr>
              <w:t xml:space="preserve">Severity</w:t>
            </w:r>
          </w:p>
        </w:tc>
        <w:tc>
          <w:tcPr>
            <w:tcW w:type="dxa" w:w="2200"/>
            <w:tcBorders>
              <w:top w:val="none" w:color="FFFFFF" w:sz="0"/>
              <w:left w:val="none" w:color="FFFFFF" w:sz="0"/>
              <w:bottom w:val="single" w:color="D1D5DB" w:sz="2"/>
              <w:right w:val="none" w:color="FFFFFF" w:sz="0"/>
            </w:tcBorders>
            <w:shd w:fill="F3F4F6" w:val="clear"/>
            <w:tcMar>
              <w:top w:type="dxa" w:w="60"/>
              <w:left w:type="dxa" w:w="100"/>
              <w:bottom w:type="dxa" w:w="60"/>
              <w:right w:type="dxa" w:w="100"/>
            </w:tcMar>
          </w:tcPr>
          <w:p>
            <w:r>
              <w:rPr>
                <w:rFonts w:ascii="Arial" w:cs="Arial" w:eastAsia="Arial" w:hAnsi="Arial"/>
                <w:b/>
                <w:bCs/>
                <w:color w:val="6B7280"/>
                <w:sz w:val="18"/>
                <w:szCs w:val="18"/>
              </w:rPr>
              <w:t xml:space="preserve">Issue</w:t>
            </w:r>
          </w:p>
        </w:tc>
        <w:tc>
          <w:tcPr>
            <w:tcW w:type="dxa" w:w="5760"/>
            <w:tcBorders>
              <w:top w:val="none" w:color="FFFFFF" w:sz="0"/>
              <w:left w:val="none" w:color="FFFFFF" w:sz="0"/>
              <w:bottom w:val="single" w:color="D1D5DB" w:sz="2"/>
              <w:right w:val="none" w:color="FFFFFF" w:sz="0"/>
            </w:tcBorders>
            <w:shd w:fill="F3F4F6" w:val="clear"/>
            <w:tcMar>
              <w:top w:type="dxa" w:w="60"/>
              <w:left w:type="dxa" w:w="100"/>
              <w:bottom w:type="dxa" w:w="60"/>
              <w:right w:type="dxa" w:w="100"/>
            </w:tcMar>
          </w:tcPr>
          <w:p>
            <w:r>
              <w:rPr>
                <w:rFonts w:ascii="Arial" w:cs="Arial" w:eastAsia="Arial" w:hAnsi="Arial"/>
                <w:b/>
                <w:bCs/>
                <w:color w:val="6B7280"/>
                <w:sz w:val="18"/>
                <w:szCs w:val="18"/>
              </w:rPr>
              <w:t xml:space="preserve">Details</w:t>
            </w:r>
          </w:p>
        </w:tc>
      </w:tr>
      <w:tr>
        <w:tc>
          <w:tcPr>
            <w:tcW w:type="dxa" w:w="140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PO Lacks Team Permission Gating</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Unlike invoices, the purchase order query in _loadPurchaseOrders does not check canViewOthersInvoices (or an equivalent canViewOthersPurchaseOrders). A team member who should only see their own data will see ALL purchase orders in the Input tab, the GSTR-3B tab, the Net tab, and the exported CSV. This is an access control gap.</w:t>
            </w:r>
          </w:p>
        </w:tc>
      </w:tr>
      <w:tr>
        <w:tc>
          <w:tcPr>
            <w:tcW w:type="dxa" w:w="1400"/>
            <w:tcBorders>
              <w:top w:val="none" w:color="FFFFFF" w:sz="0"/>
              <w:left w:val="none" w:color="FFFFFF" w:sz="0"/>
              <w:bottom w:val="none" w:color="FFFFFF" w:sz="0"/>
              <w:right w:val="none" w:color="FFFFFF" w:sz="0"/>
            </w:tcBorders>
            <w:shd w:fill="E8F0FE" w:val="clear"/>
            <w:tcMar>
              <w:top w:type="dxa" w:w="60"/>
              <w:left w:type="dxa" w:w="100"/>
              <w:bottom w:type="dxa" w:w="60"/>
              <w:right w:type="dxa" w:w="100"/>
            </w:tcMar>
          </w:tcPr>
          <w:p>
            <w:pPr>
              <w:jc w:val="center"/>
            </w:pPr>
            <w:r>
              <w:rPr>
                <w:rFonts w:ascii="Arial" w:cs="Arial" w:eastAsia="Arial" w:hAnsi="Arial"/>
                <w:b/>
                <w:bCs/>
                <w:color w:val="1A56DB"/>
                <w:sz w:val="18"/>
                <w:szCs w:val="18"/>
              </w:rPr>
              <w:t xml:space="preserve">MEDIUM</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Summary Shows All Data vs. Filtered List</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When a restricted team member views the report, the summary cards show the FULL aggregated totals (from the owner-level analytics doc), but the Output tab only shows their own invoices. This creates a confusing mismatch where the summary says 50 invoices / Rs. 10L tax, but the list shows only 8 invoices. The summary doc is not per-creator; it always reflects the full business data.</w:t>
            </w:r>
          </w:p>
        </w:tc>
      </w:tr>
    </w:tbl>
    <w:p>
      <w:pPr>
        <w:pStyle w:val="Heading1"/>
        <w:spacing w:after="120" w:before="360"/>
      </w:pPr>
      <w:r>
        <w:rPr>
          <w:rFonts w:ascii="Arial" w:cs="Arial" w:eastAsia="Arial" w:hAnsi="Arial"/>
          <w:b/>
          <w:bCs/>
          <w:color w:val="1A56DB"/>
          <w:sz w:val="32"/>
          <w:szCs w:val="32"/>
        </w:rPr>
        <w:t xml:space="preserve">5. Security Analysis</w:t>
      </w:r>
    </w:p>
    <w:p>
      <w:pPr>
        <w:pStyle w:val="Heading2"/>
        <w:spacing w:after="120" w:before="240"/>
      </w:pPr>
      <w:r>
        <w:rPr>
          <w:rFonts w:ascii="Arial" w:cs="Arial" w:eastAsia="Arial" w:hAnsi="Arial"/>
          <w:b/>
          <w:bCs/>
          <w:color w:val="1F2937"/>
          <w:sz w:val="26"/>
          <w:szCs w:val="26"/>
        </w:rPr>
        <w:t xml:space="preserve">5.1 Firestore Rules</w:t>
      </w:r>
    </w:p>
    <w:p>
      <w:pPr>
        <w:spacing w:after="120"/>
      </w:pPr>
      <w:r>
        <w:rPr>
          <w:rFonts w:ascii="Arial" w:cs="Arial" w:eastAsia="Arial" w:hAnsi="Arial"/>
          <w:b w:val="false"/>
          <w:bCs w:val="false"/>
          <w:i w:val="false"/>
          <w:iCs w:val="false"/>
          <w:color w:val="374151"/>
          <w:sz w:val="22"/>
          <w:szCs w:val="22"/>
        </w:rPr>
        <w:t xml:space="preserve">The analytics subcollection (/users/{userId}/analytics/**) is protected by:</w:t>
      </w:r>
    </w:p>
    <w:p>
      <w:pPr>
        <w:pStyle w:val="ListParagraph"/>
        <w:numPr>
          <w:ilvl w:val="0"/>
          <w:numId w:val="3"/>
        </w:numPr>
        <w:spacing w:after="60"/>
      </w:pPr>
      <w:r>
        <w:rPr>
          <w:rFonts w:ascii="Arial" w:cs="Arial" w:eastAsia="Arial" w:hAnsi="Arial"/>
          <w:color w:val="374151"/>
          <w:sz w:val="22"/>
          <w:szCs w:val="22"/>
        </w:rPr>
        <w:t xml:space="preserve">Read: isOwnerOrTeamMember(userId) || isAdmin() - correct, only the business owner and their active team members can read.</w:t>
      </w:r>
    </w:p>
    <w:p>
      <w:pPr>
        <w:pStyle w:val="ListParagraph"/>
        <w:numPr>
          <w:ilvl w:val="0"/>
          <w:numId w:val="3"/>
        </w:numPr>
        <w:spacing w:after="60"/>
      </w:pPr>
      <w:r>
        <w:rPr>
          <w:rFonts w:ascii="Arial" w:cs="Arial" w:eastAsia="Arial" w:hAnsi="Arial"/>
          <w:color w:val="374151"/>
          <w:sz w:val="22"/>
          <w:szCs w:val="22"/>
        </w:rPr>
        <w:t xml:space="preserve">Write: isAdmin() only - correct, only Cloud Functions (running as admin) can write analytics. No client can tamper with aggregated totals.</w:t>
      </w:r>
    </w:p>
    <w:p>
      <w:pPr>
        <w:spacing w:after="120"/>
      </w:pPr>
      <w:r>
        <w:rPr>
          <w:rFonts w:ascii="Arial" w:cs="Arial" w:eastAsia="Arial" w:hAnsi="Arial"/>
          <w:b w:val="false"/>
          <w:bCs w:val="false"/>
          <w:i w:val="false"/>
          <w:iCs w:val="false"/>
          <w:color w:val="374151"/>
          <w:sz w:val="22"/>
          <w:szCs w:val="22"/>
        </w:rPr>
        <w:t xml:space="preserve">The invoice collection (/invoices/{id}) uses ownerId-based filtering at both the query level and the security rules level. Team members must be active to access.</w:t>
      </w:r>
    </w:p>
    <w:p>
      <w:pPr>
        <w:pStyle w:val="Heading2"/>
        <w:spacing w:after="120" w:before="240"/>
      </w:pPr>
      <w:r>
        <w:rPr>
          <w:rFonts w:ascii="Arial" w:cs="Arial" w:eastAsia="Arial" w:hAnsi="Arial"/>
          <w:b/>
          <w:bCs/>
          <w:color w:val="1F2937"/>
          <w:sz w:val="26"/>
          <w:szCs w:val="26"/>
        </w:rPr>
        <w:t xml:space="preserve">5.2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none" w:color="FFFFFF" w:sz="0"/>
              <w:left w:val="none" w:color="FFFFFF" w:sz="0"/>
              <w:bottom w:val="single" w:color="D1D5DB" w:sz="2"/>
              <w:right w:val="none" w:color="FFFFFF" w:sz="0"/>
            </w:tcBorders>
            <w:shd w:fill="F3F4F6" w:val="clear"/>
            <w:tcMar>
              <w:top w:type="dxa" w:w="60"/>
              <w:left w:type="dxa" w:w="100"/>
              <w:bottom w:type="dxa" w:w="60"/>
              <w:right w:type="dxa" w:w="100"/>
            </w:tcMar>
          </w:tcPr>
          <w:p>
            <w:r>
              <w:rPr>
                <w:rFonts w:ascii="Arial" w:cs="Arial" w:eastAsia="Arial" w:hAnsi="Arial"/>
                <w:b/>
                <w:bCs/>
                <w:color w:val="6B7280"/>
                <w:sz w:val="18"/>
                <w:szCs w:val="18"/>
              </w:rPr>
              <w:t xml:space="preserve">Severity</w:t>
            </w:r>
          </w:p>
        </w:tc>
        <w:tc>
          <w:tcPr>
            <w:tcW w:type="dxa" w:w="2200"/>
            <w:tcBorders>
              <w:top w:val="none" w:color="FFFFFF" w:sz="0"/>
              <w:left w:val="none" w:color="FFFFFF" w:sz="0"/>
              <w:bottom w:val="single" w:color="D1D5DB" w:sz="2"/>
              <w:right w:val="none" w:color="FFFFFF" w:sz="0"/>
            </w:tcBorders>
            <w:shd w:fill="F3F4F6" w:val="clear"/>
            <w:tcMar>
              <w:top w:type="dxa" w:w="60"/>
              <w:left w:type="dxa" w:w="100"/>
              <w:bottom w:type="dxa" w:w="60"/>
              <w:right w:type="dxa" w:w="100"/>
            </w:tcMar>
          </w:tcPr>
          <w:p>
            <w:r>
              <w:rPr>
                <w:rFonts w:ascii="Arial" w:cs="Arial" w:eastAsia="Arial" w:hAnsi="Arial"/>
                <w:b/>
                <w:bCs/>
                <w:color w:val="6B7280"/>
                <w:sz w:val="18"/>
                <w:szCs w:val="18"/>
              </w:rPr>
              <w:t xml:space="preserve">Issue</w:t>
            </w:r>
          </w:p>
        </w:tc>
        <w:tc>
          <w:tcPr>
            <w:tcW w:type="dxa" w:w="5760"/>
            <w:tcBorders>
              <w:top w:val="none" w:color="FFFFFF" w:sz="0"/>
              <w:left w:val="none" w:color="FFFFFF" w:sz="0"/>
              <w:bottom w:val="single" w:color="D1D5DB" w:sz="2"/>
              <w:right w:val="none" w:color="FFFFFF" w:sz="0"/>
            </w:tcBorders>
            <w:shd w:fill="F3F4F6" w:val="clear"/>
            <w:tcMar>
              <w:top w:type="dxa" w:w="60"/>
              <w:left w:type="dxa" w:w="100"/>
              <w:bottom w:type="dxa" w:w="60"/>
              <w:right w:type="dxa" w:w="100"/>
            </w:tcMar>
          </w:tcPr>
          <w:p>
            <w:r>
              <w:rPr>
                <w:rFonts w:ascii="Arial" w:cs="Arial" w:eastAsia="Arial" w:hAnsi="Arial"/>
                <w:b/>
                <w:bCs/>
                <w:color w:val="6B7280"/>
                <w:sz w:val="18"/>
                <w:szCs w:val="18"/>
              </w:rPr>
              <w:t xml:space="preserve">Details</w:t>
            </w:r>
          </w:p>
        </w:tc>
      </w:tr>
      <w:tr>
        <w:tc>
          <w:tcPr>
            <w:tcW w:type="dxa" w:w="140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Error Messages Leak Stack Traces</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Both _invoiceLoadError and _poLoadError are displayed directly to the user (lines 1872, 3269). Firestore errors can contain internal collection paths, permission rule details, and document references. This leaks infrastructure details to the UI.</w:t>
            </w:r>
          </w:p>
        </w:tc>
      </w:tr>
      <w:tr>
        <w:tc>
          <w:tcPr>
            <w:tcW w:type="dxa" w:w="1400"/>
            <w:tcBorders>
              <w:top w:val="none" w:color="FFFFFF" w:sz="0"/>
              <w:left w:val="none" w:color="FFFFFF" w:sz="0"/>
              <w:bottom w:val="none" w:color="FFFFFF" w:sz="0"/>
              <w:right w:val="none" w:color="FFFFFF" w:sz="0"/>
            </w:tcBorders>
            <w:shd w:fill="E8F0FE" w:val="clear"/>
            <w:tcMar>
              <w:top w:type="dxa" w:w="60"/>
              <w:left w:type="dxa" w:w="100"/>
              <w:bottom w:type="dxa" w:w="60"/>
              <w:right w:type="dxa" w:w="100"/>
            </w:tcMar>
          </w:tcPr>
          <w:p>
            <w:pPr>
              <w:jc w:val="center"/>
            </w:pPr>
            <w:r>
              <w:rPr>
                <w:rFonts w:ascii="Arial" w:cs="Arial" w:eastAsia="Arial" w:hAnsi="Arial"/>
                <w:b/>
                <w:bCs/>
                <w:color w:val="1A56DB"/>
                <w:sz w:val="18"/>
                <w:szCs w:val="18"/>
              </w:rPr>
              <w:t xml:space="preserve">MEDIUM</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CSV Export to Temp Directory</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The CSV export writes to Directory.systemTemp (line 462) without cleanup. On shared/rooted Android devices, temp files containing GST data (customer names, GSTINs, tax amounts) persist until the OS cleans up. No file encryption.</w:t>
            </w:r>
          </w:p>
        </w:tc>
      </w:tr>
      <w:tr>
        <w:tc>
          <w:tcPr>
            <w:tcW w:type="dxa" w:w="1400"/>
            <w:tcBorders>
              <w:top w:val="none" w:color="FFFFFF" w:sz="0"/>
              <w:left w:val="none" w:color="FFFFFF" w:sz="0"/>
              <w:bottom w:val="none" w:color="FFFFFF" w:sz="0"/>
              <w:right w:val="none" w:color="FFFFFF" w:sz="0"/>
            </w:tcBorders>
            <w:shd w:fill="E8F0FE" w:val="clear"/>
            <w:tcMar>
              <w:top w:type="dxa" w:w="60"/>
              <w:left w:type="dxa" w:w="100"/>
              <w:bottom w:type="dxa" w:w="60"/>
              <w:right w:type="dxa" w:w="100"/>
            </w:tcMar>
          </w:tcPr>
          <w:p>
            <w:pPr>
              <w:jc w:val="center"/>
            </w:pPr>
            <w:r>
              <w:rPr>
                <w:rFonts w:ascii="Arial" w:cs="Arial" w:eastAsia="Arial" w:hAnsi="Arial"/>
                <w:b/>
                <w:bCs/>
                <w:color w:val="1A56DB"/>
                <w:sz w:val="18"/>
                <w:szCs w:val="18"/>
              </w:rPr>
              <w:t xml:space="preserve">MEDIUM</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No Input Validation on Period</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The period selectors accept any year/month/quarter combination without bounds checking. While this is not exploitable (Firestore queries will just return empty results), a user could set year to 1970 or 9999 and trigger queries against non-existent period keys, wasting Firestore reads.</w:t>
            </w:r>
          </w:p>
        </w:tc>
      </w:tr>
      <w:tr>
        <w:tc>
          <w:tcPr>
            <w:tcW w:type="dxa" w:w="1400"/>
            <w:tcBorders>
              <w:top w:val="none" w:color="FFFFFF" w:sz="0"/>
              <w:left w:val="none" w:color="FFFFFF" w:sz="0"/>
              <w:bottom w:val="none" w:color="FFFFFF" w:sz="0"/>
              <w:right w:val="none" w:color="FFFFFF" w:sz="0"/>
            </w:tcBorders>
            <w:shd w:fill="DCFCE7" w:val="clear"/>
            <w:tcMar>
              <w:top w:type="dxa" w:w="60"/>
              <w:left w:type="dxa" w:w="100"/>
              <w:bottom w:type="dxa" w:w="60"/>
              <w:right w:type="dxa" w:w="100"/>
            </w:tcMar>
          </w:tcPr>
          <w:p>
            <w:pPr>
              <w:jc w:val="center"/>
            </w:pPr>
            <w:r>
              <w:rPr>
                <w:rFonts w:ascii="Arial" w:cs="Arial" w:eastAsia="Arial" w:hAnsi="Arial"/>
                <w:b/>
                <w:bCs/>
                <w:color w:val="16A34A"/>
                <w:sz w:val="18"/>
                <w:szCs w:val="18"/>
              </w:rPr>
              <w:t xml:space="preserve">LOW</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Plain-Text Sharing of GST Data</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The _sharePdfSummary function (line 308) shares a plain text buffer via Share Plus. This means sensitive GST data (tax amounts, invoice counts) passes through the OS share sheet unencrypted, and could be intercepted by accessibility services or share receivers.</w:t>
            </w:r>
          </w:p>
        </w:tc>
      </w:tr>
    </w:tbl>
    <w:p>
      <w:r>
        <w:br w:type="page"/>
      </w:r>
    </w:p>
    <w:p>
      <w:pPr>
        <w:pStyle w:val="Heading1"/>
        <w:spacing w:after="120" w:before="360"/>
      </w:pPr>
      <w:r>
        <w:rPr>
          <w:rFonts w:ascii="Arial" w:cs="Arial" w:eastAsia="Arial" w:hAnsi="Arial"/>
          <w:b/>
          <w:bCs/>
          <w:color w:val="1A56DB"/>
          <w:sz w:val="32"/>
          <w:szCs w:val="32"/>
        </w:rPr>
        <w:t xml:space="preserve">6. Scalability Analysis</w:t>
      </w:r>
    </w:p>
    <w:p>
      <w:pPr>
        <w:pStyle w:val="Heading2"/>
        <w:spacing w:after="120" w:before="240"/>
      </w:pPr>
      <w:r>
        <w:rPr>
          <w:rFonts w:ascii="Arial" w:cs="Arial" w:eastAsia="Arial" w:hAnsi="Arial"/>
          <w:b/>
          <w:bCs/>
          <w:color w:val="1F2937"/>
          <w:sz w:val="26"/>
          <w:szCs w:val="26"/>
        </w:rPr>
        <w:t xml:space="preserve">6.1 What Scales Well</w:t>
      </w:r>
    </w:p>
    <w:p>
      <w:pPr>
        <w:pStyle w:val="ListParagraph"/>
        <w:numPr>
          <w:ilvl w:val="0"/>
          <w:numId w:val="3"/>
        </w:numPr>
        <w:spacing w:after="60"/>
      </w:pPr>
      <w:r>
        <w:rPr>
          <w:rFonts w:ascii="Arial" w:cs="Arial" w:eastAsia="Arial" w:hAnsi="Arial"/>
          <w:color w:val="374151"/>
          <w:sz w:val="22"/>
          <w:szCs w:val="22"/>
        </w:rPr>
        <w:t xml:space="preserve">Pre-aggregated analytics: The summary cards read from a SINGLE Firestore document per period, regardless of how many invoices exist. This is O(1) for displaying totals.</w:t>
      </w:r>
    </w:p>
    <w:p>
      <w:pPr>
        <w:pStyle w:val="ListParagraph"/>
        <w:numPr>
          <w:ilvl w:val="0"/>
          <w:numId w:val="3"/>
        </w:numPr>
        <w:spacing w:after="60"/>
      </w:pPr>
      <w:r>
        <w:rPr>
          <w:rFonts w:ascii="Arial" w:cs="Arial" w:eastAsia="Arial" w:hAnsi="Arial"/>
          <w:color w:val="374151"/>
          <w:sz w:val="22"/>
          <w:szCs w:val="22"/>
        </w:rPr>
        <w:t xml:space="preserve">Incremental updates: Cloud Functions use FieldValue.increment for delta writes, avoiding full re-aggregation on every invoice change.</w:t>
      </w:r>
    </w:p>
    <w:p>
      <w:pPr>
        <w:pStyle w:val="ListParagraph"/>
        <w:numPr>
          <w:ilvl w:val="0"/>
          <w:numId w:val="3"/>
        </w:numPr>
        <w:spacing w:after="60"/>
      </w:pPr>
      <w:r>
        <w:rPr>
          <w:rFonts w:ascii="Arial" w:cs="Arial" w:eastAsia="Arial" w:hAnsi="Arial"/>
          <w:color w:val="374151"/>
          <w:sz w:val="22"/>
          <w:szCs w:val="22"/>
        </w:rPr>
        <w:t xml:space="preserve">Invoice pagination: The Output tab loads 25 invoices at a time with cursor-based pagination.</w:t>
      </w:r>
    </w:p>
    <w:p>
      <w:pPr>
        <w:pStyle w:val="ListParagraph"/>
        <w:numPr>
          <w:ilvl w:val="0"/>
          <w:numId w:val="3"/>
        </w:numPr>
        <w:spacing w:after="60"/>
      </w:pPr>
      <w:r>
        <w:rPr>
          <w:rFonts w:ascii="Arial" w:cs="Arial" w:eastAsia="Arial" w:hAnsi="Arial"/>
          <w:color w:val="374151"/>
          <w:sz w:val="22"/>
          <w:szCs w:val="22"/>
        </w:rPr>
        <w:t xml:space="preserve">Self-write detection: The syncInvoiceAnalytics function detects its own normalization write-backs and skips re-processing, preventing infinite loops.</w:t>
      </w:r>
    </w:p>
    <w:p>
      <w:pPr>
        <w:pStyle w:val="Heading2"/>
        <w:spacing w:after="120" w:before="240"/>
      </w:pPr>
      <w:r>
        <w:rPr>
          <w:rFonts w:ascii="Arial" w:cs="Arial" w:eastAsia="Arial" w:hAnsi="Arial"/>
          <w:b/>
          <w:bCs/>
          <w:color w:val="1F2937"/>
          <w:sz w:val="26"/>
          <w:szCs w:val="26"/>
        </w:rPr>
        <w:t xml:space="preserve">6.2 Issues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none" w:color="FFFFFF" w:sz="0"/>
              <w:left w:val="none" w:color="FFFFFF" w:sz="0"/>
              <w:bottom w:val="single" w:color="D1D5DB" w:sz="2"/>
              <w:right w:val="none" w:color="FFFFFF" w:sz="0"/>
            </w:tcBorders>
            <w:shd w:fill="F3F4F6" w:val="clear"/>
            <w:tcMar>
              <w:top w:type="dxa" w:w="60"/>
              <w:left w:type="dxa" w:w="100"/>
              <w:bottom w:type="dxa" w:w="60"/>
              <w:right w:type="dxa" w:w="100"/>
            </w:tcMar>
          </w:tcPr>
          <w:p>
            <w:r>
              <w:rPr>
                <w:rFonts w:ascii="Arial" w:cs="Arial" w:eastAsia="Arial" w:hAnsi="Arial"/>
                <w:b/>
                <w:bCs/>
                <w:color w:val="6B7280"/>
                <w:sz w:val="18"/>
                <w:szCs w:val="18"/>
              </w:rPr>
              <w:t xml:space="preserve">Severity</w:t>
            </w:r>
          </w:p>
        </w:tc>
        <w:tc>
          <w:tcPr>
            <w:tcW w:type="dxa" w:w="2200"/>
            <w:tcBorders>
              <w:top w:val="none" w:color="FFFFFF" w:sz="0"/>
              <w:left w:val="none" w:color="FFFFFF" w:sz="0"/>
              <w:bottom w:val="single" w:color="D1D5DB" w:sz="2"/>
              <w:right w:val="none" w:color="FFFFFF" w:sz="0"/>
            </w:tcBorders>
            <w:shd w:fill="F3F4F6" w:val="clear"/>
            <w:tcMar>
              <w:top w:type="dxa" w:w="60"/>
              <w:left w:type="dxa" w:w="100"/>
              <w:bottom w:type="dxa" w:w="60"/>
              <w:right w:type="dxa" w:w="100"/>
            </w:tcMar>
          </w:tcPr>
          <w:p>
            <w:r>
              <w:rPr>
                <w:rFonts w:ascii="Arial" w:cs="Arial" w:eastAsia="Arial" w:hAnsi="Arial"/>
                <w:b/>
                <w:bCs/>
                <w:color w:val="6B7280"/>
                <w:sz w:val="18"/>
                <w:szCs w:val="18"/>
              </w:rPr>
              <w:t xml:space="preserve">Issue</w:t>
            </w:r>
          </w:p>
        </w:tc>
        <w:tc>
          <w:tcPr>
            <w:tcW w:type="dxa" w:w="5760"/>
            <w:tcBorders>
              <w:top w:val="none" w:color="FFFFFF" w:sz="0"/>
              <w:left w:val="none" w:color="FFFFFF" w:sz="0"/>
              <w:bottom w:val="single" w:color="D1D5DB" w:sz="2"/>
              <w:right w:val="none" w:color="FFFFFF" w:sz="0"/>
            </w:tcBorders>
            <w:shd w:fill="F3F4F6" w:val="clear"/>
            <w:tcMar>
              <w:top w:type="dxa" w:w="60"/>
              <w:left w:type="dxa" w:w="100"/>
              <w:bottom w:type="dxa" w:w="60"/>
              <w:right w:type="dxa" w:w="100"/>
            </w:tcMar>
          </w:tcPr>
          <w:p>
            <w:r>
              <w:rPr>
                <w:rFonts w:ascii="Arial" w:cs="Arial" w:eastAsia="Arial" w:hAnsi="Arial"/>
                <w:b/>
                <w:bCs/>
                <w:color w:val="6B7280"/>
                <w:sz w:val="18"/>
                <w:szCs w:val="18"/>
              </w:rPr>
              <w:t xml:space="preserve">Details</w:t>
            </w:r>
          </w:p>
        </w:tc>
      </w:tr>
      <w:tr>
        <w:tc>
          <w:tcPr>
            <w:tcW w:type="dxa" w:w="1400"/>
            <w:tcBorders>
              <w:top w:val="none" w:color="FFFFFF" w:sz="0"/>
              <w:left w:val="none" w:color="FFFFFF" w:sz="0"/>
              <w:bottom w:val="none" w:color="FFFFFF" w:sz="0"/>
              <w:right w:val="none" w:color="FFFFFF" w:sz="0"/>
            </w:tcBorders>
            <w:shd w:fill="FEF3C7" w:val="clear"/>
            <w:tcMar>
              <w:top w:type="dxa" w:w="60"/>
              <w:left w:type="dxa" w:w="100"/>
              <w:bottom w:type="dxa" w:w="60"/>
              <w:right w:type="dxa" w:w="100"/>
            </w:tcMar>
          </w:tcPr>
          <w:p>
            <w:pPr>
              <w:jc w:val="center"/>
            </w:pPr>
            <w:r>
              <w:rPr>
                <w:rFonts w:ascii="Arial" w:cs="Arial" w:eastAsia="Arial" w:hAnsi="Arial"/>
                <w:b/>
                <w:bCs/>
                <w:color w:val="D97706"/>
                <w:sz w:val="18"/>
                <w:szCs w:val="18"/>
              </w:rPr>
              <w:t xml:space="preserve">HIGH</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PO Loads All Into Memory</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Purchase orders are loaded with pageSize: 250, maxResults: 5000. For a business with hundreds of POs per month, this fetches ALL of them into memory at once. Unlike invoices (which are paginated with lazy loading), POs have no pagination in the UI. A business with 2000 received POs in a quarter will load all 2000 into a Dart list.</w:t>
            </w:r>
          </w:p>
        </w:tc>
      </w:tr>
      <w:tr>
        <w:tc>
          <w:tcPr>
            <w:tcW w:type="dxa" w:w="1400"/>
            <w:tcBorders>
              <w:top w:val="none" w:color="FFFFFF" w:sz="0"/>
              <w:left w:val="none" w:color="FFFFFF" w:sz="0"/>
              <w:bottom w:val="none" w:color="FFFFFF" w:sz="0"/>
              <w:right w:val="none" w:color="FFFFFF" w:sz="0"/>
            </w:tcBorders>
            <w:shd w:fill="E8F0FE" w:val="clear"/>
            <w:tcMar>
              <w:top w:type="dxa" w:w="60"/>
              <w:left w:type="dxa" w:w="100"/>
              <w:bottom w:type="dxa" w:w="60"/>
              <w:right w:type="dxa" w:w="100"/>
            </w:tcMar>
          </w:tcPr>
          <w:p>
            <w:pPr>
              <w:jc w:val="center"/>
            </w:pPr>
            <w:r>
              <w:rPr>
                <w:rFonts w:ascii="Arial" w:cs="Arial" w:eastAsia="Arial" w:hAnsi="Arial"/>
                <w:b/>
                <w:bCs/>
                <w:color w:val="1A56DB"/>
                <w:sz w:val="18"/>
                <w:szCs w:val="18"/>
              </w:rPr>
              <w:t xml:space="preserve">MEDIUM</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No Composite Index on PO Query</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The purchase order query filters by createdAt range but applies gstEnabled and status filters CLIENT-SIDE. Without a composite index on (status, gstEnabled, createdAt), Firestore reads every PO in the date range and the app discards non-matching ones. For 1000 POs where only 200 are received+GST, you pay for 1000 reads.</w:t>
            </w:r>
          </w:p>
        </w:tc>
      </w:tr>
      <w:tr>
        <w:tc>
          <w:tcPr>
            <w:tcW w:type="dxa" w:w="1400"/>
            <w:tcBorders>
              <w:top w:val="none" w:color="FFFFFF" w:sz="0"/>
              <w:left w:val="none" w:color="FFFFFF" w:sz="0"/>
              <w:bottom w:val="none" w:color="FFFFFF" w:sz="0"/>
              <w:right w:val="none" w:color="FFFFFF" w:sz="0"/>
            </w:tcBorders>
            <w:shd w:fill="E8F0FE" w:val="clear"/>
            <w:tcMar>
              <w:top w:type="dxa" w:w="60"/>
              <w:left w:type="dxa" w:w="100"/>
              <w:bottom w:type="dxa" w:w="60"/>
              <w:right w:type="dxa" w:w="100"/>
            </w:tcMar>
          </w:tcPr>
          <w:p>
            <w:pPr>
              <w:jc w:val="center"/>
            </w:pPr>
            <w:r>
              <w:rPr>
                <w:rFonts w:ascii="Arial" w:cs="Arial" w:eastAsia="Arial" w:hAnsi="Arial"/>
                <w:b/>
                <w:bCs/>
                <w:color w:val="1A56DB"/>
                <w:sz w:val="18"/>
                <w:szCs w:val="18"/>
              </w:rPr>
              <w:t xml:space="preserve">MEDIUM</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Increment Drift Risk</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The analytics pipeline uses FieldValue.increment exclusively. If a Cloud Function fails mid-execution (e.g., timeout at 120s) after writing the dashboard delta but before writing some period deltas, the data becomes permanently inconsistent. There is a reconcile function, but it must be triggered manually.</w:t>
            </w:r>
          </w:p>
        </w:tc>
      </w:tr>
      <w:tr>
        <w:tc>
          <w:tcPr>
            <w:tcW w:type="dxa" w:w="1400"/>
            <w:tcBorders>
              <w:top w:val="none" w:color="FFFFFF" w:sz="0"/>
              <w:left w:val="none" w:color="FFFFFF" w:sz="0"/>
              <w:bottom w:val="none" w:color="FFFFFF" w:sz="0"/>
              <w:right w:val="none" w:color="FFFFFF" w:sz="0"/>
            </w:tcBorders>
            <w:shd w:fill="DCFCE7" w:val="clear"/>
            <w:tcMar>
              <w:top w:type="dxa" w:w="60"/>
              <w:left w:type="dxa" w:w="100"/>
              <w:bottom w:type="dxa" w:w="60"/>
              <w:right w:type="dxa" w:w="100"/>
            </w:tcMar>
          </w:tcPr>
          <w:p>
            <w:pPr>
              <w:jc w:val="center"/>
            </w:pPr>
            <w:r>
              <w:rPr>
                <w:rFonts w:ascii="Arial" w:cs="Arial" w:eastAsia="Arial" w:hAnsi="Arial"/>
                <w:b/>
                <w:bCs/>
                <w:color w:val="16A34A"/>
                <w:sz w:val="18"/>
                <w:szCs w:val="18"/>
              </w:rPr>
              <w:t xml:space="preserve">LOW</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1F2937"/>
                <w:sz w:val="20"/>
                <w:szCs w:val="20"/>
              </w:rPr>
              <w:t xml:space="preserve">Export Fetches All Invoices</w:t>
            </w:r>
          </w:p>
        </w:tc>
        <w:tc>
          <w:tcPr>
            <w:tcW w:type="dxa" w:w="576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color w:val="374151"/>
                <w:sz w:val="20"/>
                <w:szCs w:val="20"/>
              </w:rPr>
              <w:t xml:space="preserve">The Share Report button calls getAllInvoices with pageSize: 100, maxResults: 5000. For a yearly report with 3000+ invoices, this executes 30+ sequential Firestore queries. On a slow connection, this could take 30+ seconds with no progress indicator beyond a spinner.</w:t>
            </w:r>
          </w:p>
        </w:tc>
      </w:tr>
    </w:tbl>
    <w:p>
      <w:pPr>
        <w:pStyle w:val="Heading1"/>
        <w:spacing w:after="120" w:before="360"/>
      </w:pPr>
      <w:r>
        <w:rPr>
          <w:rFonts w:ascii="Arial" w:cs="Arial" w:eastAsia="Arial" w:hAnsi="Arial"/>
          <w:b/>
          <w:bCs/>
          <w:color w:val="1A56DB"/>
          <w:sz w:val="32"/>
          <w:szCs w:val="32"/>
        </w:rPr>
        <w:t xml:space="preserve">7. Remediation Plan</w:t>
      </w:r>
    </w:p>
    <w:p>
      <w:pPr>
        <w:spacing w:after="120"/>
      </w:pPr>
      <w:r>
        <w:rPr>
          <w:rFonts w:ascii="Arial" w:cs="Arial" w:eastAsia="Arial" w:hAnsi="Arial"/>
          <w:b w:val="false"/>
          <w:bCs w:val="false"/>
          <w:i w:val="false"/>
          <w:iCs w:val="false"/>
          <w:color w:val="374151"/>
          <w:sz w:val="22"/>
          <w:szCs w:val="22"/>
        </w:rPr>
        <w:t xml:space="preserve">All remedies preserve existing app behavior, features, and user flows. Changes are additive or internal.</w:t>
      </w:r>
    </w:p>
    <w:p>
      <w:pPr>
        <w:pStyle w:val="Heading2"/>
        <w:spacing w:after="120" w:before="240"/>
      </w:pPr>
      <w:r>
        <w:rPr>
          <w:rFonts w:ascii="Arial" w:cs="Arial" w:eastAsia="Arial" w:hAnsi="Arial"/>
          <w:b/>
          <w:bCs/>
          <w:color w:val="1F2937"/>
          <w:sz w:val="26"/>
          <w:szCs w:val="26"/>
        </w:rPr>
        <w:t xml:space="preserve">7.1 CRITICAL: Add Financial Year Period to Cloud Function</w:t>
      </w:r>
    </w:p>
    <w:p>
      <w:pPr>
        <w:spacing w:after="120"/>
      </w:pPr>
      <w:r>
        <w:rPr>
          <w:rFonts w:ascii="Arial" w:cs="Arial" w:eastAsia="Arial" w:hAnsi="Arial"/>
          <w:b w:val="false"/>
          <w:bCs w:val="false"/>
          <w:i w:val="false"/>
          <w:iCs w:val="false"/>
          <w:color w:val="374151"/>
          <w:sz w:val="22"/>
          <w:szCs w:val="22"/>
        </w:rPr>
        <w:t xml:space="preserve">Add a financialYear period key to both buildGstPeriods and buildInputGstPeriods. Indian FY runs April-March, so an invoice in January 2026 belongs to FY-2025-2026.</w:t>
      </w:r>
    </w:p>
    <w:p>
      <w:pPr>
        <w:pStyle w:val="ListParagraph"/>
        <w:numPr>
          <w:ilvl w:val="0"/>
          <w:numId w:val="3"/>
        </w:numPr>
        <w:spacing w:after="60"/>
      </w:pPr>
      <w:r>
        <w:rPr>
          <w:rFonts w:ascii="Arial" w:cs="Arial" w:eastAsia="Arial" w:hAnsi="Arial"/>
          <w:color w:val="374151"/>
          <w:sz w:val="22"/>
          <w:szCs w:val="22"/>
        </w:rPr>
        <w:t xml:space="preserve">In buildGstPeriods (index.js ~line 3380): add a 4th entry alongside monthly/quarterly/yearly that computes the FY key using: fyYear = month &gt;= 4 ? year : year - 1, then docId = financialYear_FY-{fyYear}-{fyYear+1}.</w:t>
      </w:r>
    </w:p>
    <w:p>
      <w:pPr>
        <w:pStyle w:val="ListParagraph"/>
        <w:numPr>
          <w:ilvl w:val="0"/>
          <w:numId w:val="3"/>
        </w:numPr>
        <w:spacing w:after="60"/>
      </w:pPr>
      <w:r>
        <w:rPr>
          <w:rFonts w:ascii="Arial" w:cs="Arial" w:eastAsia="Arial" w:hAnsi="Arial"/>
          <w:color w:val="374151"/>
          <w:sz w:val="22"/>
          <w:szCs w:val="22"/>
        </w:rPr>
        <w:t xml:space="preserve">Mirror the same in buildInputGstPeriods (line 1267) for PO input GST.</w:t>
      </w:r>
    </w:p>
    <w:p>
      <w:pPr>
        <w:pStyle w:val="ListParagraph"/>
        <w:numPr>
          <w:ilvl w:val="0"/>
          <w:numId w:val="3"/>
        </w:numPr>
        <w:spacing w:after="60"/>
      </w:pPr>
      <w:r>
        <w:rPr>
          <w:rFonts w:ascii="Arial" w:cs="Arial" w:eastAsia="Arial" w:hAnsi="Arial"/>
          <w:color w:val="374151"/>
          <w:sz w:val="22"/>
          <w:szCs w:val="22"/>
        </w:rPr>
        <w:t xml:space="preserve">After deploying, run the existing reconcileAnalytics Cloud Function to backfill FY period docs for historical data.</w:t>
      </w:r>
    </w:p>
    <w:p>
      <w:pPr>
        <w:pStyle w:val="ListParagraph"/>
        <w:numPr>
          <w:ilvl w:val="0"/>
          <w:numId w:val="3"/>
        </w:numPr>
        <w:spacing w:after="60"/>
      </w:pPr>
      <w:r>
        <w:rPr>
          <w:rFonts w:ascii="Arial" w:cs="Arial" w:eastAsia="Arial" w:hAnsi="Arial"/>
          <w:color w:val="374151"/>
          <w:sz w:val="22"/>
          <w:szCs w:val="22"/>
        </w:rPr>
        <w:t xml:space="preserve">No Flutter changes needed. The UI already queries for periodType=financialYear, it will just start getting data instead of null.</w:t>
      </w:r>
    </w:p>
    <w:p>
      <w:pPr>
        <w:pStyle w:val="Heading2"/>
        <w:spacing w:after="120" w:before="240"/>
      </w:pPr>
      <w:r>
        <w:rPr>
          <w:rFonts w:ascii="Arial" w:cs="Arial" w:eastAsia="Arial" w:hAnsi="Arial"/>
          <w:b/>
          <w:bCs/>
          <w:color w:val="1F2937"/>
          <w:sz w:val="26"/>
          <w:szCs w:val="26"/>
        </w:rPr>
        <w:t xml:space="preserve">7.2 HIGH: Fix HSN Tax Calculation</w:t>
      </w:r>
    </w:p>
    <w:p>
      <w:pPr>
        <w:spacing w:after="120"/>
      </w:pPr>
      <w:r>
        <w:rPr>
          <w:rFonts w:ascii="Arial" w:cs="Arial" w:eastAsia="Arial" w:hAnsi="Arial"/>
          <w:b w:val="false"/>
          <w:bCs w:val="false"/>
          <w:i w:val="false"/>
          <w:iCs w:val="false"/>
          <w:color w:val="374151"/>
          <w:sz w:val="22"/>
          <w:szCs w:val="22"/>
        </w:rPr>
        <w:t xml:space="preserve">In _buildHsnTab, apply proportional discount before computing tax:</w:t>
      </w:r>
    </w:p>
    <w:p>
      <w:pPr>
        <w:pStyle w:val="ListParagraph"/>
        <w:numPr>
          <w:ilvl w:val="0"/>
          <w:numId w:val="3"/>
        </w:numPr>
        <w:spacing w:after="60"/>
      </w:pPr>
      <w:r>
        <w:rPr>
          <w:rFonts w:ascii="Arial" w:cs="Arial" w:eastAsia="Arial" w:hAnsi="Arial"/>
          <w:color w:val="374151"/>
          <w:sz w:val="22"/>
          <w:szCs w:val="22"/>
        </w:rPr>
        <w:t xml:space="preserve">Calculate the invoice-level discount ratio: discountRatio = inv.taxableAmount / inv.subtotal (or 1.0 if subtotal is 0).</w:t>
      </w:r>
    </w:p>
    <w:p>
      <w:pPr>
        <w:pStyle w:val="ListParagraph"/>
        <w:numPr>
          <w:ilvl w:val="0"/>
          <w:numId w:val="3"/>
        </w:numPr>
        <w:spacing w:after="60"/>
      </w:pPr>
      <w:r>
        <w:rPr>
          <w:rFonts w:ascii="Arial" w:cs="Arial" w:eastAsia="Arial" w:hAnsi="Arial"/>
          <w:color w:val="374151"/>
          <w:sz w:val="22"/>
          <w:szCs w:val="22"/>
        </w:rPr>
        <w:t xml:space="preserve">Change: tax = item.total * itemGstRate / 100 to tax = item.total * discountRatio * itemGstRate / 100.</w:t>
      </w:r>
    </w:p>
    <w:p>
      <w:pPr>
        <w:pStyle w:val="ListParagraph"/>
        <w:numPr>
          <w:ilvl w:val="0"/>
          <w:numId w:val="3"/>
        </w:numPr>
        <w:spacing w:after="60"/>
      </w:pPr>
      <w:r>
        <w:rPr>
          <w:rFonts w:ascii="Arial" w:cs="Arial" w:eastAsia="Arial" w:hAnsi="Arial"/>
          <w:color w:val="374151"/>
          <w:sz w:val="22"/>
          <w:szCs w:val="22"/>
        </w:rPr>
        <w:t xml:space="preserve">Similarly adjust agg.taxableAmount to accumulate item.total * discountRatio instead of item.total.</w:t>
      </w:r>
    </w:p>
    <w:p>
      <w:pPr>
        <w:pStyle w:val="ListParagraph"/>
        <w:numPr>
          <w:ilvl w:val="0"/>
          <w:numId w:val="3"/>
        </w:numPr>
        <w:spacing w:after="60"/>
      </w:pPr>
      <w:r>
        <w:rPr>
          <w:rFonts w:ascii="Arial" w:cs="Arial" w:eastAsia="Arial" w:hAnsi="Arial"/>
          <w:color w:val="374151"/>
          <w:sz w:val="22"/>
          <w:szCs w:val="22"/>
        </w:rPr>
        <w:t xml:space="preserve">This aligns the HSN tab with both the Cloud Function logic and GST law. No change to any other tab or data flow.</w:t>
      </w:r>
    </w:p>
    <w:p>
      <w:pPr>
        <w:pStyle w:val="Heading2"/>
        <w:spacing w:after="120" w:before="240"/>
      </w:pPr>
      <w:r>
        <w:rPr>
          <w:rFonts w:ascii="Arial" w:cs="Arial" w:eastAsia="Arial" w:hAnsi="Arial"/>
          <w:b/>
          <w:bCs/>
          <w:color w:val="1F2937"/>
          <w:sz w:val="26"/>
          <w:szCs w:val="26"/>
        </w:rPr>
        <w:t xml:space="preserve">7.3 HIGH: Add PO Permission Gating</w:t>
      </w:r>
    </w:p>
    <w:p>
      <w:pPr>
        <w:spacing w:after="120"/>
      </w:pPr>
      <w:r>
        <w:rPr>
          <w:rFonts w:ascii="Arial" w:cs="Arial" w:eastAsia="Arial" w:hAnsi="Arial"/>
          <w:b w:val="false"/>
          <w:bCs w:val="false"/>
          <w:i w:val="false"/>
          <w:iCs w:val="false"/>
          <w:color w:val="374151"/>
          <w:sz w:val="22"/>
          <w:szCs w:val="22"/>
        </w:rPr>
        <w:t xml:space="preserve">In _loadPurchaseOrders, mirror the invoice permission check:</w:t>
      </w:r>
    </w:p>
    <w:p>
      <w:pPr>
        <w:pStyle w:val="ListParagraph"/>
        <w:numPr>
          <w:ilvl w:val="0"/>
          <w:numId w:val="3"/>
        </w:numPr>
        <w:spacing w:after="60"/>
      </w:pPr>
      <w:r>
        <w:rPr>
          <w:rFonts w:ascii="Arial" w:cs="Arial" w:eastAsia="Arial" w:hAnsi="Arial"/>
          <w:color w:val="374151"/>
          <w:sz w:val="22"/>
          <w:szCs w:val="22"/>
        </w:rPr>
        <w:t xml:space="preserve">Add a createdByUid parameter to PurchaseOrderService.getPurchaseOrders.</w:t>
      </w:r>
    </w:p>
    <w:p>
      <w:pPr>
        <w:pStyle w:val="ListParagraph"/>
        <w:numPr>
          <w:ilvl w:val="0"/>
          <w:numId w:val="3"/>
        </w:numPr>
        <w:spacing w:after="60"/>
      </w:pPr>
      <w:r>
        <w:rPr>
          <w:rFonts w:ascii="Arial" w:cs="Arial" w:eastAsia="Arial" w:hAnsi="Arial"/>
          <w:color w:val="374151"/>
          <w:sz w:val="22"/>
          <w:szCs w:val="22"/>
        </w:rPr>
        <w:t xml:space="preserve">If the user is a team member without canViewOthersInvoices (or a new canViewOthersPurchaseOrders), pass their UID to filter POs.</w:t>
      </w:r>
    </w:p>
    <w:p>
      <w:pPr>
        <w:pStyle w:val="ListParagraph"/>
        <w:numPr>
          <w:ilvl w:val="0"/>
          <w:numId w:val="3"/>
        </w:numPr>
        <w:spacing w:after="60"/>
      </w:pPr>
      <w:r>
        <w:rPr>
          <w:rFonts w:ascii="Arial" w:cs="Arial" w:eastAsia="Arial" w:hAnsi="Arial"/>
          <w:color w:val="374151"/>
          <w:sz w:val="22"/>
          <w:szCs w:val="22"/>
        </w:rPr>
        <w:t xml:space="preserve">Add the corresponding .where('createdByUid', isEqualTo: uid) clause in the Firestore query.</w:t>
      </w:r>
    </w:p>
    <w:p>
      <w:pPr>
        <w:pStyle w:val="ListParagraph"/>
        <w:numPr>
          <w:ilvl w:val="0"/>
          <w:numId w:val="3"/>
        </w:numPr>
        <w:spacing w:after="60"/>
      </w:pPr>
      <w:r>
        <w:rPr>
          <w:rFonts w:ascii="Arial" w:cs="Arial" w:eastAsia="Arial" w:hAnsi="Arial"/>
          <w:color w:val="374151"/>
          <w:sz w:val="22"/>
          <w:szCs w:val="22"/>
        </w:rPr>
        <w:t xml:space="preserve">Ensure the Firestore security rules for /users/{ownerId}/purchaseOrders/{id} also enforce this (they currently allow read for all team members).</w:t>
      </w:r>
    </w:p>
    <w:p>
      <w:pPr>
        <w:pStyle w:val="Heading2"/>
        <w:spacing w:after="120" w:before="240"/>
      </w:pPr>
      <w:r>
        <w:rPr>
          <w:rFonts w:ascii="Arial" w:cs="Arial" w:eastAsia="Arial" w:hAnsi="Arial"/>
          <w:b/>
          <w:bCs/>
          <w:color w:val="1F2937"/>
          <w:sz w:val="26"/>
          <w:szCs w:val="26"/>
        </w:rPr>
        <w:t xml:space="preserve">7.4 HIGH: Sanitize Error Messages</w:t>
      </w:r>
    </w:p>
    <w:p>
      <w:pPr>
        <w:spacing w:after="120"/>
      </w:pPr>
      <w:r>
        <w:rPr>
          <w:rFonts w:ascii="Arial" w:cs="Arial" w:eastAsia="Arial" w:hAnsi="Arial"/>
          <w:b w:val="false"/>
          <w:bCs w:val="false"/>
          <w:i w:val="false"/>
          <w:iCs w:val="false"/>
          <w:color w:val="374151"/>
          <w:sz w:val="22"/>
          <w:szCs w:val="22"/>
        </w:rPr>
        <w:t xml:space="preserve">Replace raw error display with user-friendly messages:</w:t>
      </w:r>
    </w:p>
    <w:p>
      <w:pPr>
        <w:pStyle w:val="ListParagraph"/>
        <w:numPr>
          <w:ilvl w:val="0"/>
          <w:numId w:val="3"/>
        </w:numPr>
        <w:spacing w:after="60"/>
      </w:pPr>
      <w:r>
        <w:rPr>
          <w:rFonts w:ascii="Arial" w:cs="Arial" w:eastAsia="Arial" w:hAnsi="Arial"/>
          <w:color w:val="374151"/>
          <w:sz w:val="22"/>
          <w:szCs w:val="22"/>
        </w:rPr>
        <w:t xml:space="preserve">Wrap _invoiceLoadError and _poLoadError display with a helper that returns a generic message like 'Unable to load data. Please check your connection and try again.' in release mode.</w:t>
      </w:r>
    </w:p>
    <w:p>
      <w:pPr>
        <w:pStyle w:val="ListParagraph"/>
        <w:numPr>
          <w:ilvl w:val="0"/>
          <w:numId w:val="3"/>
        </w:numPr>
        <w:spacing w:after="60"/>
      </w:pPr>
      <w:r>
        <w:rPr>
          <w:rFonts w:ascii="Arial" w:cs="Arial" w:eastAsia="Arial" w:hAnsi="Arial"/>
          <w:color w:val="374151"/>
          <w:sz w:val="22"/>
          <w:szCs w:val="22"/>
        </w:rPr>
        <w:t xml:space="preserve">Log the full error to debugPrint for development. This is a 5-line change with zero UX impact.</w:t>
      </w:r>
    </w:p>
    <w:p>
      <w:pPr>
        <w:pStyle w:val="Heading2"/>
        <w:spacing w:after="120" w:before="240"/>
      </w:pPr>
      <w:r>
        <w:rPr>
          <w:rFonts w:ascii="Arial" w:cs="Arial" w:eastAsia="Arial" w:hAnsi="Arial"/>
          <w:b/>
          <w:bCs/>
          <w:color w:val="1F2937"/>
          <w:sz w:val="26"/>
          <w:szCs w:val="26"/>
        </w:rPr>
        <w:t xml:space="preserve">7.5 HIGH: Paginate Purchase Orders</w:t>
      </w:r>
    </w:p>
    <w:p>
      <w:pPr>
        <w:spacing w:after="120"/>
      </w:pPr>
      <w:r>
        <w:rPr>
          <w:rFonts w:ascii="Arial" w:cs="Arial" w:eastAsia="Arial" w:hAnsi="Arial"/>
          <w:b w:val="false"/>
          <w:bCs w:val="false"/>
          <w:i w:val="false"/>
          <w:iCs w:val="false"/>
          <w:color w:val="374151"/>
          <w:sz w:val="22"/>
          <w:szCs w:val="22"/>
        </w:rPr>
        <w:t xml:space="preserve">Add cursor-based pagination to the Input tab, mirroring the Output tab:</w:t>
      </w:r>
    </w:p>
    <w:p>
      <w:pPr>
        <w:pStyle w:val="ListParagraph"/>
        <w:numPr>
          <w:ilvl w:val="0"/>
          <w:numId w:val="3"/>
        </w:numPr>
        <w:spacing w:after="60"/>
      </w:pPr>
      <w:r>
        <w:rPr>
          <w:rFonts w:ascii="Arial" w:cs="Arial" w:eastAsia="Arial" w:hAnsi="Arial"/>
          <w:color w:val="374151"/>
          <w:sz w:val="22"/>
          <w:szCs w:val="22"/>
        </w:rPr>
        <w:t xml:space="preserve">Add _poPageCursor, _hasMorePOs, _isLoadingMorePOs state variables (like the invoice equivalents).</w:t>
      </w:r>
    </w:p>
    <w:p>
      <w:pPr>
        <w:pStyle w:val="ListParagraph"/>
        <w:numPr>
          <w:ilvl w:val="0"/>
          <w:numId w:val="3"/>
        </w:numPr>
        <w:spacing w:after="60"/>
      </w:pPr>
      <w:r>
        <w:rPr>
          <w:rFonts w:ascii="Arial" w:cs="Arial" w:eastAsia="Arial" w:hAnsi="Arial"/>
          <w:color w:val="374151"/>
          <w:sz w:val="22"/>
          <w:szCs w:val="22"/>
        </w:rPr>
        <w:t xml:space="preserve">Change pageSize from 250 to 25 for the initial load.</w:t>
      </w:r>
    </w:p>
    <w:p>
      <w:pPr>
        <w:pStyle w:val="ListParagraph"/>
        <w:numPr>
          <w:ilvl w:val="0"/>
          <w:numId w:val="3"/>
        </w:numPr>
        <w:spacing w:after="60"/>
      </w:pPr>
      <w:r>
        <w:rPr>
          <w:rFonts w:ascii="Arial" w:cs="Arial" w:eastAsia="Arial" w:hAnsi="Arial"/>
          <w:color w:val="374151"/>
          <w:sz w:val="22"/>
          <w:szCs w:val="22"/>
        </w:rPr>
        <w:t xml:space="preserve">Add a 'Load More' button at the bottom of the Input tab (like the Output tab already has).</w:t>
      </w:r>
    </w:p>
    <w:p>
      <w:pPr>
        <w:pStyle w:val="ListParagraph"/>
        <w:numPr>
          <w:ilvl w:val="0"/>
          <w:numId w:val="3"/>
        </w:numPr>
        <w:spacing w:after="60"/>
      </w:pPr>
      <w:r>
        <w:rPr>
          <w:rFonts w:ascii="Arial" w:cs="Arial" w:eastAsia="Arial" w:hAnsi="Arial"/>
          <w:color w:val="374151"/>
          <w:sz w:val="22"/>
          <w:szCs w:val="22"/>
        </w:rPr>
        <w:t xml:space="preserve">The fallback PO totals (_fallbackInputTaxable, etc.) should continue to sum from the loaded list, but with summary data available, they are rarely used.</w:t>
      </w:r>
    </w:p>
    <w:p>
      <w:pPr>
        <w:pStyle w:val="Heading2"/>
        <w:spacing w:after="120" w:before="240"/>
      </w:pPr>
      <w:r>
        <w:rPr>
          <w:rFonts w:ascii="Arial" w:cs="Arial" w:eastAsia="Arial" w:hAnsi="Arial"/>
          <w:b/>
          <w:bCs/>
          <w:color w:val="1F2937"/>
          <w:sz w:val="26"/>
          <w:szCs w:val="26"/>
        </w:rPr>
        <w:t xml:space="preserve">7.6 MEDIUM: Fix GSTR-3B Intra/Inter Breakdown</w:t>
      </w:r>
    </w:p>
    <w:p>
      <w:pPr>
        <w:spacing w:after="120"/>
      </w:pPr>
      <w:r>
        <w:rPr>
          <w:rFonts w:ascii="Arial" w:cs="Arial" w:eastAsia="Arial" w:hAnsi="Arial"/>
          <w:b w:val="false"/>
          <w:bCs w:val="false"/>
          <w:i w:val="false"/>
          <w:iCs w:val="false"/>
          <w:color w:val="374151"/>
          <w:sz w:val="22"/>
          <w:szCs w:val="22"/>
        </w:rPr>
        <w:t xml:space="preserve">The intra/inter split in GSTR-3B currently uses the local paginated invoice list. Two options:</w:t>
      </w:r>
    </w:p>
    <w:p>
      <w:pPr>
        <w:pStyle w:val="ListParagraph"/>
        <w:numPr>
          <w:ilvl w:val="0"/>
          <w:numId w:val="3"/>
        </w:numPr>
        <w:spacing w:after="60"/>
      </w:pPr>
      <w:r>
        <w:rPr>
          <w:rFonts w:ascii="Arial" w:cs="Arial" w:eastAsia="Arial" w:hAnsi="Arial"/>
          <w:color w:val="374151"/>
          <w:sz w:val="22"/>
          <w:szCs w:val="22"/>
        </w:rPr>
        <w:t xml:space="preserve">Option A (simple): Add intrastateTaxableAmount, interstateTaxableAmount, intraCgst, interIgst fields to the GstPeriodSummary model and the Cloud Function's period delta. This gives accurate server-aggregated intra/inter data.</w:t>
      </w:r>
    </w:p>
    <w:p>
      <w:pPr>
        <w:pStyle w:val="ListParagraph"/>
        <w:numPr>
          <w:ilvl w:val="0"/>
          <w:numId w:val="3"/>
        </w:numPr>
        <w:spacing w:after="60"/>
      </w:pPr>
      <w:r>
        <w:rPr>
          <w:rFonts w:ascii="Arial" w:cs="Arial" w:eastAsia="Arial" w:hAnsi="Arial"/>
          <w:color w:val="374151"/>
          <w:sz w:val="22"/>
          <w:szCs w:val="22"/>
        </w:rPr>
        <w:t xml:space="preserve">Option B (quick fix): Load all invoices when the GSTR-3B tab is selected (lazy load on tab switch). This is slower but requires no Cloud Function changes.</w:t>
      </w:r>
    </w:p>
    <w:p>
      <w:pPr>
        <w:pStyle w:val="ListParagraph"/>
        <w:numPr>
          <w:ilvl w:val="0"/>
          <w:numId w:val="3"/>
        </w:numPr>
        <w:spacing w:after="60"/>
      </w:pPr>
      <w:r>
        <w:rPr>
          <w:rFonts w:ascii="Arial" w:cs="Arial" w:eastAsia="Arial" w:hAnsi="Arial"/>
          <w:color w:val="374151"/>
          <w:sz w:val="22"/>
          <w:szCs w:val="22"/>
        </w:rPr>
        <w:t xml:space="preserve">Recommended: Option A for correctness. It adds ~6 FieldValue.increment fields per period doc write.</w:t>
      </w:r>
    </w:p>
    <w:p>
      <w:pPr>
        <w:pStyle w:val="Heading2"/>
        <w:spacing w:after="120" w:before="240"/>
      </w:pPr>
      <w:r>
        <w:rPr>
          <w:rFonts w:ascii="Arial" w:cs="Arial" w:eastAsia="Arial" w:hAnsi="Arial"/>
          <w:b/>
          <w:bCs/>
          <w:color w:val="1F2937"/>
          <w:sz w:val="26"/>
          <w:szCs w:val="26"/>
        </w:rPr>
        <w:t xml:space="preserve">7.7 MEDIUM: Add Composite Index for PO Queries</w:t>
      </w:r>
    </w:p>
    <w:p>
      <w:pPr>
        <w:spacing w:after="120"/>
      </w:pPr>
      <w:r>
        <w:rPr>
          <w:rFonts w:ascii="Arial" w:cs="Arial" w:eastAsia="Arial" w:hAnsi="Arial"/>
          <w:b w:val="false"/>
          <w:bCs w:val="false"/>
          <w:i w:val="false"/>
          <w:iCs w:val="false"/>
          <w:color w:val="374151"/>
          <w:sz w:val="22"/>
          <w:szCs w:val="22"/>
        </w:rPr>
        <w:t xml:space="preserve">Add a composite Firestore index for the purchase order collection:</w:t>
      </w:r>
    </w:p>
    <w:p>
      <w:pPr>
        <w:pStyle w:val="ListParagraph"/>
        <w:numPr>
          <w:ilvl w:val="0"/>
          <w:numId w:val="3"/>
        </w:numPr>
        <w:spacing w:after="60"/>
      </w:pPr>
      <w:r>
        <w:rPr>
          <w:rFonts w:ascii="Arial" w:cs="Arial" w:eastAsia="Arial" w:hAnsi="Arial"/>
          <w:color w:val="374151"/>
          <w:sz w:val="22"/>
          <w:szCs w:val="22"/>
        </w:rPr>
        <w:t xml:space="preserve">Index: (status ASC, gstEnabled ASC, createdAt DESC) on the purchaseOrders subcollection.</w:t>
      </w:r>
    </w:p>
    <w:p>
      <w:pPr>
        <w:pStyle w:val="ListParagraph"/>
        <w:numPr>
          <w:ilvl w:val="0"/>
          <w:numId w:val="3"/>
        </w:numPr>
        <w:spacing w:after="60"/>
      </w:pPr>
      <w:r>
        <w:rPr>
          <w:rFonts w:ascii="Arial" w:cs="Arial" w:eastAsia="Arial" w:hAnsi="Arial"/>
          <w:color w:val="374151"/>
          <w:sz w:val="22"/>
          <w:szCs w:val="22"/>
        </w:rPr>
        <w:t xml:space="preserve">Move the status and gstEnabled filters from client-side to the Firestore query (add .where clauses).</w:t>
      </w:r>
    </w:p>
    <w:p>
      <w:pPr>
        <w:pStyle w:val="ListParagraph"/>
        <w:numPr>
          <w:ilvl w:val="0"/>
          <w:numId w:val="3"/>
        </w:numPr>
        <w:spacing w:after="60"/>
      </w:pPr>
      <w:r>
        <w:rPr>
          <w:rFonts w:ascii="Arial" w:cs="Arial" w:eastAsia="Arial" w:hAnsi="Arial"/>
          <w:color w:val="374151"/>
          <w:sz w:val="22"/>
          <w:szCs w:val="22"/>
        </w:rPr>
        <w:t xml:space="preserve">This eliminates wasted reads on non-matching POs. Add the index to firestore.indexes.json.</w:t>
      </w:r>
    </w:p>
    <w:p>
      <w:pPr>
        <w:pStyle w:val="Heading2"/>
        <w:spacing w:after="120" w:before="240"/>
      </w:pPr>
      <w:r>
        <w:rPr>
          <w:rFonts w:ascii="Arial" w:cs="Arial" w:eastAsia="Arial" w:hAnsi="Arial"/>
          <w:b/>
          <w:bCs/>
          <w:color w:val="1F2937"/>
          <w:sz w:val="26"/>
          <w:szCs w:val="26"/>
        </w:rPr>
        <w:t xml:space="preserve">7.8 MEDIUM: Clean Up Temp CSV Files</w:t>
      </w:r>
    </w:p>
    <w:p>
      <w:pPr>
        <w:spacing w:after="120"/>
      </w:pPr>
      <w:r>
        <w:rPr>
          <w:rFonts w:ascii="Arial" w:cs="Arial" w:eastAsia="Arial" w:hAnsi="Arial"/>
          <w:b w:val="false"/>
          <w:bCs w:val="false"/>
          <w:i w:val="false"/>
          <w:iCs w:val="false"/>
          <w:color w:val="374151"/>
          <w:sz w:val="22"/>
          <w:szCs w:val="22"/>
        </w:rPr>
        <w:t xml:space="preserve">After sharing, delete the temp file:</w:t>
      </w:r>
    </w:p>
    <w:p>
      <w:pPr>
        <w:pStyle w:val="ListParagraph"/>
        <w:numPr>
          <w:ilvl w:val="0"/>
          <w:numId w:val="3"/>
        </w:numPr>
        <w:spacing w:after="60"/>
      </w:pPr>
      <w:r>
        <w:rPr>
          <w:rFonts w:ascii="Arial" w:cs="Arial" w:eastAsia="Arial" w:hAnsi="Arial"/>
          <w:color w:val="374151"/>
          <w:sz w:val="22"/>
          <w:szCs w:val="22"/>
        </w:rPr>
        <w:t xml:space="preserve">Wrap the share call in a try/finally that calls file.delete() after SharePlus completes.</w:t>
      </w:r>
    </w:p>
    <w:p>
      <w:pPr>
        <w:pStyle w:val="ListParagraph"/>
        <w:numPr>
          <w:ilvl w:val="0"/>
          <w:numId w:val="3"/>
        </w:numPr>
        <w:spacing w:after="60"/>
      </w:pPr>
      <w:r>
        <w:rPr>
          <w:rFonts w:ascii="Arial" w:cs="Arial" w:eastAsia="Arial" w:hAnsi="Arial"/>
          <w:color w:val="374151"/>
          <w:sz w:val="22"/>
          <w:szCs w:val="22"/>
        </w:rPr>
        <w:t xml:space="preserve">Alternatively, use the app's cache directory and clear it on app startup.</w:t>
      </w:r>
    </w:p>
    <w:p>
      <w:pPr>
        <w:pStyle w:val="Heading2"/>
        <w:spacing w:after="120" w:before="240"/>
      </w:pPr>
      <w:r>
        <w:rPr>
          <w:rFonts w:ascii="Arial" w:cs="Arial" w:eastAsia="Arial" w:hAnsi="Arial"/>
          <w:b/>
          <w:bCs/>
          <w:color w:val="1F2937"/>
          <w:sz w:val="26"/>
          <w:szCs w:val="26"/>
        </w:rPr>
        <w:t xml:space="preserve">7.9 MEDIUM: Bound Period Selectors</w:t>
      </w:r>
    </w:p>
    <w:p>
      <w:pPr>
        <w:spacing w:after="120"/>
      </w:pPr>
      <w:r>
        <w:rPr>
          <w:rFonts w:ascii="Arial" w:cs="Arial" w:eastAsia="Arial" w:hAnsi="Arial"/>
          <w:b w:val="false"/>
          <w:bCs w:val="false"/>
          <w:i w:val="false"/>
          <w:iCs w:val="false"/>
          <w:color w:val="374151"/>
          <w:sz w:val="22"/>
          <w:szCs w:val="22"/>
        </w:rPr>
        <w:t xml:space="preserve">Add reasonable bounds to prevent unnecessary queries:</w:t>
      </w:r>
    </w:p>
    <w:p>
      <w:pPr>
        <w:pStyle w:val="ListParagraph"/>
        <w:numPr>
          <w:ilvl w:val="0"/>
          <w:numId w:val="3"/>
        </w:numPr>
        <w:spacing w:after="60"/>
      </w:pPr>
      <w:r>
        <w:rPr>
          <w:rFonts w:ascii="Arial" w:cs="Arial" w:eastAsia="Arial" w:hAnsi="Arial"/>
          <w:color w:val="374151"/>
          <w:sz w:val="22"/>
          <w:szCs w:val="22"/>
        </w:rPr>
        <w:t xml:space="preserve">Limit year selection to current year minus 5 through current year (covers 5-year GST filing window).</w:t>
      </w:r>
    </w:p>
    <w:p>
      <w:pPr>
        <w:pStyle w:val="ListParagraph"/>
        <w:numPr>
          <w:ilvl w:val="0"/>
          <w:numId w:val="3"/>
        </w:numPr>
        <w:spacing w:after="60"/>
      </w:pPr>
      <w:r>
        <w:rPr>
          <w:rFonts w:ascii="Arial" w:cs="Arial" w:eastAsia="Arial" w:hAnsi="Arial"/>
          <w:color w:val="374151"/>
          <w:sz w:val="22"/>
          <w:szCs w:val="22"/>
        </w:rPr>
        <w:t xml:space="preserve">Disable months/quarters in the future for the current year (already partially done for months via maxMonth check).</w:t>
      </w:r>
    </w:p>
    <w:p>
      <w:pPr>
        <w:pStyle w:val="Heading2"/>
        <w:spacing w:after="120" w:before="240"/>
      </w:pPr>
      <w:r>
        <w:rPr>
          <w:rFonts w:ascii="Arial" w:cs="Arial" w:eastAsia="Arial" w:hAnsi="Arial"/>
          <w:b/>
          <w:bCs/>
          <w:color w:val="1F2937"/>
          <w:sz w:val="26"/>
          <w:szCs w:val="26"/>
        </w:rPr>
        <w:t xml:space="preserve">7.10 LOW: Add Increment Drift Detection</w:t>
      </w:r>
    </w:p>
    <w:p>
      <w:pPr>
        <w:spacing w:after="120"/>
      </w:pPr>
      <w:r>
        <w:rPr>
          <w:rFonts w:ascii="Arial" w:cs="Arial" w:eastAsia="Arial" w:hAnsi="Arial"/>
          <w:b w:val="false"/>
          <w:bCs w:val="false"/>
          <w:i w:val="false"/>
          <w:iCs w:val="false"/>
          <w:color w:val="374151"/>
          <w:sz w:val="22"/>
          <w:szCs w:val="22"/>
        </w:rPr>
        <w:t xml:space="preserve">Add a lightweight consistency check:</w:t>
      </w:r>
    </w:p>
    <w:p>
      <w:pPr>
        <w:pStyle w:val="ListParagraph"/>
        <w:numPr>
          <w:ilvl w:val="0"/>
          <w:numId w:val="3"/>
        </w:numPr>
        <w:spacing w:after="60"/>
      </w:pPr>
      <w:r>
        <w:rPr>
          <w:rFonts w:ascii="Arial" w:cs="Arial" w:eastAsia="Arial" w:hAnsi="Arial"/>
          <w:color w:val="374151"/>
          <w:sz w:val="22"/>
          <w:szCs w:val="22"/>
        </w:rPr>
        <w:t xml:space="preserve">When the summary stream delivers data, compare the summary's invoiceCount with the number of invoices actually returned by the paginated query. If there is a significant mismatch (e.g., summary says 50 but query returns 2 pages totaling 50), log a warning.</w:t>
      </w:r>
    </w:p>
    <w:p>
      <w:pPr>
        <w:pStyle w:val="ListParagraph"/>
        <w:numPr>
          <w:ilvl w:val="0"/>
          <w:numId w:val="3"/>
        </w:numPr>
        <w:spacing w:after="60"/>
      </w:pPr>
      <w:r>
        <w:rPr>
          <w:rFonts w:ascii="Arial" w:cs="Arial" w:eastAsia="Arial" w:hAnsi="Arial"/>
          <w:color w:val="374151"/>
          <w:sz w:val="22"/>
          <w:szCs w:val="22"/>
        </w:rPr>
        <w:t xml:space="preserve">Add a manual 'Refresh Analytics' button (hidden under a long-press or settings menu) that triggers the reconcileAnalytics Cloud Function for the selected period.</w:t>
      </w:r>
    </w:p>
    <w:p>
      <w:r>
        <w:br w:type="page"/>
      </w:r>
    </w:p>
    <w:p>
      <w:pPr>
        <w:pStyle w:val="Heading1"/>
        <w:spacing w:after="120" w:before="360"/>
      </w:pPr>
      <w:r>
        <w:rPr>
          <w:rFonts w:ascii="Arial" w:cs="Arial" w:eastAsia="Arial" w:hAnsi="Arial"/>
          <w:b/>
          <w:bCs/>
          <w:color w:val="1A56DB"/>
          <w:sz w:val="32"/>
          <w:szCs w:val="32"/>
        </w:rPr>
        <w:t xml:space="preserve">8. Priority Matrix</w:t>
      </w:r>
    </w:p>
    <w:p>
      <w:pPr>
        <w:spacing w:after="120"/>
      </w:pPr>
      <w:r>
        <w:rPr>
          <w:rFonts w:ascii="Arial" w:cs="Arial" w:eastAsia="Arial" w:hAnsi="Arial"/>
          <w:b w:val="false"/>
          <w:bCs w:val="false"/>
          <w:i w:val="false"/>
          <w:iCs w:val="false"/>
          <w:color w:val="374151"/>
          <w:sz w:val="22"/>
          <w:szCs w:val="22"/>
        </w:rPr>
        <w:t xml:space="preserve">Ordered by impact and implementation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1200"/>
        <w:gridCol w:w="1200"/>
        <w:gridCol w:w="1200"/>
        <w:gridCol w:w="1660"/>
      </w:tblGrid>
      <w:tr>
        <w:tc>
          <w:tcPr>
            <w:tcW w:type="dxa" w:w="600"/>
            <w:tcBorders>
              <w:top w:val="single" w:color="D1D5DB" w:sz="1"/>
              <w:left w:val="single" w:color="D1D5DB" w:sz="1"/>
              <w:bottom w:val="single" w:color="D1D5DB" w:sz="1"/>
              <w:right w:val="single" w:color="D1D5DB" w:sz="1"/>
            </w:tcBorders>
            <w:shd w:fill="1A56DB" w:val="clear"/>
            <w:tcMar>
              <w:top w:type="dxa" w:w="60"/>
              <w:left w:type="dxa" w:w="80"/>
              <w:bottom w:type="dxa" w:w="60"/>
              <w:right w:type="dxa" w:w="80"/>
            </w:tcMar>
          </w:tcPr>
          <w:p>
            <w:r>
              <w:rPr>
                <w:rFonts w:ascii="Arial" w:cs="Arial" w:eastAsia="Arial" w:hAnsi="Arial"/>
                <w:b/>
                <w:bCs/>
                <w:color w:val="FFFFFF"/>
                <w:sz w:val="18"/>
                <w:szCs w:val="18"/>
              </w:rPr>
              <w:t xml:space="preserve">#</w:t>
            </w:r>
          </w:p>
        </w:tc>
        <w:tc>
          <w:tcPr>
            <w:tcW w:type="dxa" w:w="3500"/>
            <w:tcBorders>
              <w:top w:val="single" w:color="D1D5DB" w:sz="1"/>
              <w:left w:val="single" w:color="D1D5DB" w:sz="1"/>
              <w:bottom w:val="single" w:color="D1D5DB" w:sz="1"/>
              <w:right w:val="single" w:color="D1D5DB" w:sz="1"/>
            </w:tcBorders>
            <w:shd w:fill="1A56DB" w:val="clear"/>
            <w:tcMar>
              <w:top w:type="dxa" w:w="60"/>
              <w:left w:type="dxa" w:w="80"/>
              <w:bottom w:type="dxa" w:w="60"/>
              <w:right w:type="dxa" w:w="80"/>
            </w:tcMar>
          </w:tcPr>
          <w:p>
            <w:r>
              <w:rPr>
                <w:rFonts w:ascii="Arial" w:cs="Arial" w:eastAsia="Arial" w:hAnsi="Arial"/>
                <w:b/>
                <w:bCs/>
                <w:color w:val="FFFFFF"/>
                <w:sz w:val="18"/>
                <w:szCs w:val="18"/>
              </w:rPr>
              <w:t xml:space="preserve">Fix</w:t>
            </w:r>
          </w:p>
        </w:tc>
        <w:tc>
          <w:tcPr>
            <w:tcW w:type="dxa" w:w="1200"/>
            <w:tcBorders>
              <w:top w:val="single" w:color="D1D5DB" w:sz="1"/>
              <w:left w:val="single" w:color="D1D5DB" w:sz="1"/>
              <w:bottom w:val="single" w:color="D1D5DB" w:sz="1"/>
              <w:right w:val="single" w:color="D1D5DB" w:sz="1"/>
            </w:tcBorders>
            <w:shd w:fill="1A56DB" w:val="clear"/>
            <w:tcMar>
              <w:top w:type="dxa" w:w="60"/>
              <w:left w:type="dxa" w:w="80"/>
              <w:bottom w:type="dxa" w:w="60"/>
              <w:right w:type="dxa" w:w="80"/>
            </w:tcMar>
          </w:tcPr>
          <w:p>
            <w:r>
              <w:rPr>
                <w:rFonts w:ascii="Arial" w:cs="Arial" w:eastAsia="Arial" w:hAnsi="Arial"/>
                <w:b/>
                <w:bCs/>
                <w:color w:val="FFFFFF"/>
                <w:sz w:val="18"/>
                <w:szCs w:val="18"/>
              </w:rPr>
              <w:t xml:space="preserve">Severity</w:t>
            </w:r>
          </w:p>
        </w:tc>
        <w:tc>
          <w:tcPr>
            <w:tcW w:type="dxa" w:w="1200"/>
            <w:tcBorders>
              <w:top w:val="single" w:color="D1D5DB" w:sz="1"/>
              <w:left w:val="single" w:color="D1D5DB" w:sz="1"/>
              <w:bottom w:val="single" w:color="D1D5DB" w:sz="1"/>
              <w:right w:val="single" w:color="D1D5DB" w:sz="1"/>
            </w:tcBorders>
            <w:shd w:fill="1A56DB" w:val="clear"/>
            <w:tcMar>
              <w:top w:type="dxa" w:w="60"/>
              <w:left w:type="dxa" w:w="80"/>
              <w:bottom w:type="dxa" w:w="60"/>
              <w:right w:type="dxa" w:w="80"/>
            </w:tcMar>
          </w:tcPr>
          <w:p>
            <w:r>
              <w:rPr>
                <w:rFonts w:ascii="Arial" w:cs="Arial" w:eastAsia="Arial" w:hAnsi="Arial"/>
                <w:b/>
                <w:bCs/>
                <w:color w:val="FFFFFF"/>
                <w:sz w:val="18"/>
                <w:szCs w:val="18"/>
              </w:rPr>
              <w:t xml:space="preserve">Effort</w:t>
            </w:r>
          </w:p>
        </w:tc>
        <w:tc>
          <w:tcPr>
            <w:tcW w:type="dxa" w:w="1200"/>
            <w:tcBorders>
              <w:top w:val="single" w:color="D1D5DB" w:sz="1"/>
              <w:left w:val="single" w:color="D1D5DB" w:sz="1"/>
              <w:bottom w:val="single" w:color="D1D5DB" w:sz="1"/>
              <w:right w:val="single" w:color="D1D5DB" w:sz="1"/>
            </w:tcBorders>
            <w:shd w:fill="1A56DB" w:val="clear"/>
            <w:tcMar>
              <w:top w:type="dxa" w:w="60"/>
              <w:left w:type="dxa" w:w="80"/>
              <w:bottom w:type="dxa" w:w="60"/>
              <w:right w:type="dxa" w:w="80"/>
            </w:tcMar>
          </w:tcPr>
          <w:p>
            <w:r>
              <w:rPr>
                <w:rFonts w:ascii="Arial" w:cs="Arial" w:eastAsia="Arial" w:hAnsi="Arial"/>
                <w:b/>
                <w:bCs/>
                <w:color w:val="FFFFFF"/>
                <w:sz w:val="18"/>
                <w:szCs w:val="18"/>
              </w:rPr>
              <w:t xml:space="preserve">Impact</w:t>
            </w:r>
          </w:p>
        </w:tc>
        <w:tc>
          <w:tcPr>
            <w:tcW w:type="dxa" w:w="1660"/>
            <w:tcBorders>
              <w:top w:val="single" w:color="D1D5DB" w:sz="1"/>
              <w:left w:val="single" w:color="D1D5DB" w:sz="1"/>
              <w:bottom w:val="single" w:color="D1D5DB" w:sz="1"/>
              <w:right w:val="single" w:color="D1D5DB" w:sz="1"/>
            </w:tcBorders>
            <w:shd w:fill="1A56DB" w:val="clear"/>
            <w:tcMar>
              <w:top w:type="dxa" w:w="60"/>
              <w:left w:type="dxa" w:w="80"/>
              <w:bottom w:type="dxa" w:w="60"/>
              <w:right w:type="dxa" w:w="80"/>
            </w:tcMar>
          </w:tcPr>
          <w:p>
            <w:r>
              <w:rPr>
                <w:rFonts w:ascii="Arial" w:cs="Arial" w:eastAsia="Arial" w:hAnsi="Arial"/>
                <w:b/>
                <w:bCs/>
                <w:color w:val="FFFFFF"/>
                <w:sz w:val="18"/>
                <w:szCs w:val="18"/>
              </w:rPr>
              <w:t xml:space="preserve">Files Changed</w:t>
            </w:r>
          </w:p>
        </w:tc>
      </w:tr>
      <w:tr>
        <w:tc>
          <w:tcPr>
            <w:tcW w:type="dxa" w:w="6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bCs/>
                <w:color w:val="374151"/>
                <w:sz w:val="18"/>
                <w:szCs w:val="18"/>
              </w:rPr>
              <w:t xml:space="preserve">1</w:t>
            </w:r>
          </w:p>
        </w:tc>
        <w:tc>
          <w:tcPr>
            <w:tcW w:type="dxa" w:w="3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FY period in Cloud Function</w:t>
            </w:r>
          </w:p>
        </w:tc>
        <w:tc>
          <w:tcPr>
            <w:tcW w:type="dxa" w:w="1200"/>
            <w:tcBorders>
              <w:top w:val="single" w:color="D1D5DB" w:sz="1"/>
              <w:left w:val="single" w:color="D1D5DB" w:sz="1"/>
              <w:bottom w:val="single" w:color="D1D5DB" w:sz="1"/>
              <w:right w:val="single" w:color="D1D5DB" w:sz="1"/>
            </w:tcBorders>
            <w:shd w:fill="FEE2E2" w:val="clear"/>
            <w:tcMar>
              <w:top w:type="dxa" w:w="50"/>
              <w:left w:type="dxa" w:w="80"/>
              <w:bottom w:type="dxa" w:w="50"/>
              <w:right w:type="dxa" w:w="80"/>
            </w:tcMar>
          </w:tcPr>
          <w:p>
            <w:r>
              <w:rPr>
                <w:rFonts w:ascii="Arial" w:cs="Arial" w:eastAsia="Arial" w:hAnsi="Arial"/>
                <w:b w:val="false"/>
                <w:bCs w:val="false"/>
                <w:color w:val="374151"/>
                <w:sz w:val="18"/>
                <w:szCs w:val="18"/>
              </w:rPr>
              <w:t xml:space="preserve">CRITICAL</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Small</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High</w:t>
            </w:r>
          </w:p>
        </w:tc>
        <w:tc>
          <w:tcPr>
            <w:tcW w:type="dxa" w:w="166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index.js</w:t>
            </w:r>
          </w:p>
        </w:tc>
      </w:tr>
      <w:tr>
        <w:tc>
          <w:tcPr>
            <w:tcW w:type="dxa" w:w="6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bCs/>
                <w:color w:val="374151"/>
                <w:sz w:val="18"/>
                <w:szCs w:val="18"/>
              </w:rPr>
              <w:t xml:space="preserve">2</w:t>
            </w:r>
          </w:p>
        </w:tc>
        <w:tc>
          <w:tcPr>
            <w:tcW w:type="dxa" w:w="3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HSN tax on post-discount amount</w:t>
            </w:r>
          </w:p>
        </w:tc>
        <w:tc>
          <w:tcPr>
            <w:tcW w:type="dxa" w:w="1200"/>
            <w:tcBorders>
              <w:top w:val="single" w:color="D1D5DB" w:sz="1"/>
              <w:left w:val="single" w:color="D1D5DB" w:sz="1"/>
              <w:bottom w:val="single" w:color="D1D5DB" w:sz="1"/>
              <w:right w:val="single" w:color="D1D5DB" w:sz="1"/>
            </w:tcBorders>
            <w:shd w:fill="FEF3C7" w:val="clear"/>
            <w:tcMar>
              <w:top w:type="dxa" w:w="50"/>
              <w:left w:type="dxa" w:w="80"/>
              <w:bottom w:type="dxa" w:w="50"/>
              <w:right w:type="dxa" w:w="80"/>
            </w:tcMar>
          </w:tcPr>
          <w:p>
            <w:r>
              <w:rPr>
                <w:rFonts w:ascii="Arial" w:cs="Arial" w:eastAsia="Arial" w:hAnsi="Arial"/>
                <w:b w:val="false"/>
                <w:bCs w:val="false"/>
                <w:color w:val="374151"/>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Small</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High</w:t>
            </w:r>
          </w:p>
        </w:tc>
        <w:tc>
          <w:tcPr>
            <w:tcW w:type="dxa" w:w="166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gst_report_screen</w:t>
            </w:r>
          </w:p>
        </w:tc>
      </w:tr>
      <w:tr>
        <w:tc>
          <w:tcPr>
            <w:tcW w:type="dxa" w:w="6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bCs/>
                <w:color w:val="374151"/>
                <w:sz w:val="18"/>
                <w:szCs w:val="18"/>
              </w:rPr>
              <w:t xml:space="preserve">3</w:t>
            </w:r>
          </w:p>
        </w:tc>
        <w:tc>
          <w:tcPr>
            <w:tcW w:type="dxa" w:w="3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Sanitize error messages</w:t>
            </w:r>
          </w:p>
        </w:tc>
        <w:tc>
          <w:tcPr>
            <w:tcW w:type="dxa" w:w="1200"/>
            <w:tcBorders>
              <w:top w:val="single" w:color="D1D5DB" w:sz="1"/>
              <w:left w:val="single" w:color="D1D5DB" w:sz="1"/>
              <w:bottom w:val="single" w:color="D1D5DB" w:sz="1"/>
              <w:right w:val="single" w:color="D1D5DB" w:sz="1"/>
            </w:tcBorders>
            <w:shd w:fill="FEF3C7" w:val="clear"/>
            <w:tcMar>
              <w:top w:type="dxa" w:w="50"/>
              <w:left w:type="dxa" w:w="80"/>
              <w:bottom w:type="dxa" w:w="50"/>
              <w:right w:type="dxa" w:w="80"/>
            </w:tcMar>
          </w:tcPr>
          <w:p>
            <w:r>
              <w:rPr>
                <w:rFonts w:ascii="Arial" w:cs="Arial" w:eastAsia="Arial" w:hAnsi="Arial"/>
                <w:b w:val="false"/>
                <w:bCs w:val="false"/>
                <w:color w:val="374151"/>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Trivial</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c>
          <w:tcPr>
            <w:tcW w:type="dxa" w:w="166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gst_report_screen</w:t>
            </w:r>
          </w:p>
        </w:tc>
      </w:tr>
      <w:tr>
        <w:tc>
          <w:tcPr>
            <w:tcW w:type="dxa" w:w="6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bCs/>
                <w:color w:val="374151"/>
                <w:sz w:val="18"/>
                <w:szCs w:val="18"/>
              </w:rPr>
              <w:t xml:space="preserve">4</w:t>
            </w:r>
          </w:p>
        </w:tc>
        <w:tc>
          <w:tcPr>
            <w:tcW w:type="dxa" w:w="3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PO permission gating</w:t>
            </w:r>
          </w:p>
        </w:tc>
        <w:tc>
          <w:tcPr>
            <w:tcW w:type="dxa" w:w="1200"/>
            <w:tcBorders>
              <w:top w:val="single" w:color="D1D5DB" w:sz="1"/>
              <w:left w:val="single" w:color="D1D5DB" w:sz="1"/>
              <w:bottom w:val="single" w:color="D1D5DB" w:sz="1"/>
              <w:right w:val="single" w:color="D1D5DB" w:sz="1"/>
            </w:tcBorders>
            <w:shd w:fill="FEF3C7" w:val="clear"/>
            <w:tcMar>
              <w:top w:type="dxa" w:w="50"/>
              <w:left w:type="dxa" w:w="80"/>
              <w:bottom w:type="dxa" w:w="50"/>
              <w:right w:type="dxa" w:w="80"/>
            </w:tcMar>
          </w:tcPr>
          <w:p>
            <w:r>
              <w:rPr>
                <w:rFonts w:ascii="Arial" w:cs="Arial" w:eastAsia="Arial" w:hAnsi="Arial"/>
                <w:b w:val="false"/>
                <w:bCs w:val="false"/>
                <w:color w:val="374151"/>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High</w:t>
            </w:r>
          </w:p>
        </w:tc>
        <w:tc>
          <w:tcPr>
            <w:tcW w:type="dxa" w:w="166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PO service + screen</w:t>
            </w:r>
          </w:p>
        </w:tc>
      </w:tr>
      <w:tr>
        <w:tc>
          <w:tcPr>
            <w:tcW w:type="dxa" w:w="6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bCs/>
                <w:color w:val="374151"/>
                <w:sz w:val="18"/>
                <w:szCs w:val="18"/>
              </w:rPr>
              <w:t xml:space="preserve">5</w:t>
            </w:r>
          </w:p>
        </w:tc>
        <w:tc>
          <w:tcPr>
            <w:tcW w:type="dxa" w:w="3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Paginate purchase orders</w:t>
            </w:r>
          </w:p>
        </w:tc>
        <w:tc>
          <w:tcPr>
            <w:tcW w:type="dxa" w:w="1200"/>
            <w:tcBorders>
              <w:top w:val="single" w:color="D1D5DB" w:sz="1"/>
              <w:left w:val="single" w:color="D1D5DB" w:sz="1"/>
              <w:bottom w:val="single" w:color="D1D5DB" w:sz="1"/>
              <w:right w:val="single" w:color="D1D5DB" w:sz="1"/>
            </w:tcBorders>
            <w:shd w:fill="FEF3C7" w:val="clear"/>
            <w:tcMar>
              <w:top w:type="dxa" w:w="50"/>
              <w:left w:type="dxa" w:w="80"/>
              <w:bottom w:type="dxa" w:w="50"/>
              <w:right w:type="dxa" w:w="80"/>
            </w:tcMar>
          </w:tcPr>
          <w:p>
            <w:r>
              <w:rPr>
                <w:rFonts w:ascii="Arial" w:cs="Arial" w:eastAsia="Arial" w:hAnsi="Arial"/>
                <w:b w:val="false"/>
                <w:bCs w:val="false"/>
                <w:color w:val="374151"/>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High</w:t>
            </w:r>
          </w:p>
        </w:tc>
        <w:tc>
          <w:tcPr>
            <w:tcW w:type="dxa" w:w="166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PO service + screen</w:t>
            </w:r>
          </w:p>
        </w:tc>
      </w:tr>
      <w:tr>
        <w:tc>
          <w:tcPr>
            <w:tcW w:type="dxa" w:w="6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bCs/>
                <w:color w:val="374151"/>
                <w:sz w:val="18"/>
                <w:szCs w:val="18"/>
              </w:rPr>
              <w:t xml:space="preserve">6</w:t>
            </w:r>
          </w:p>
        </w:tc>
        <w:tc>
          <w:tcPr>
            <w:tcW w:type="dxa" w:w="3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GSTR-3B intra/inter breakdown</w:t>
            </w:r>
          </w:p>
        </w:tc>
        <w:tc>
          <w:tcPr>
            <w:tcW w:type="dxa" w:w="1200"/>
            <w:tcBorders>
              <w:top w:val="single" w:color="D1D5DB" w:sz="1"/>
              <w:left w:val="single" w:color="D1D5DB" w:sz="1"/>
              <w:bottom w:val="single" w:color="D1D5DB" w:sz="1"/>
              <w:right w:val="single" w:color="D1D5DB" w:sz="1"/>
            </w:tcBorders>
            <w:shd w:fill="E8F0FE" w:val="clear"/>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c>
          <w:tcPr>
            <w:tcW w:type="dxa" w:w="166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index.js + models</w:t>
            </w:r>
          </w:p>
        </w:tc>
      </w:tr>
      <w:tr>
        <w:tc>
          <w:tcPr>
            <w:tcW w:type="dxa" w:w="6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bCs/>
                <w:color w:val="374151"/>
                <w:sz w:val="18"/>
                <w:szCs w:val="18"/>
              </w:rPr>
              <w:t xml:space="preserve">7</w:t>
            </w:r>
          </w:p>
        </w:tc>
        <w:tc>
          <w:tcPr>
            <w:tcW w:type="dxa" w:w="3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Composite PO index</w:t>
            </w:r>
          </w:p>
        </w:tc>
        <w:tc>
          <w:tcPr>
            <w:tcW w:type="dxa" w:w="1200"/>
            <w:tcBorders>
              <w:top w:val="single" w:color="D1D5DB" w:sz="1"/>
              <w:left w:val="single" w:color="D1D5DB" w:sz="1"/>
              <w:bottom w:val="single" w:color="D1D5DB" w:sz="1"/>
              <w:right w:val="single" w:color="D1D5DB" w:sz="1"/>
            </w:tcBorders>
            <w:shd w:fill="E8F0FE" w:val="clear"/>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Small</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c>
          <w:tcPr>
            <w:tcW w:type="dxa" w:w="166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firestore.indexes</w:t>
            </w:r>
          </w:p>
        </w:tc>
      </w:tr>
      <w:tr>
        <w:tc>
          <w:tcPr>
            <w:tcW w:type="dxa" w:w="6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bCs/>
                <w:color w:val="374151"/>
                <w:sz w:val="18"/>
                <w:szCs w:val="18"/>
              </w:rPr>
              <w:t xml:space="preserve">8</w:t>
            </w:r>
          </w:p>
        </w:tc>
        <w:tc>
          <w:tcPr>
            <w:tcW w:type="dxa" w:w="3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Clean up temp CSV files</w:t>
            </w:r>
          </w:p>
        </w:tc>
        <w:tc>
          <w:tcPr>
            <w:tcW w:type="dxa" w:w="1200"/>
            <w:tcBorders>
              <w:top w:val="single" w:color="D1D5DB" w:sz="1"/>
              <w:left w:val="single" w:color="D1D5DB" w:sz="1"/>
              <w:bottom w:val="single" w:color="D1D5DB" w:sz="1"/>
              <w:right w:val="single" w:color="D1D5DB" w:sz="1"/>
            </w:tcBorders>
            <w:shd w:fill="E8F0FE" w:val="clear"/>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Trivial</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Low</w:t>
            </w:r>
          </w:p>
        </w:tc>
        <w:tc>
          <w:tcPr>
            <w:tcW w:type="dxa" w:w="166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gst_report_screen</w:t>
            </w:r>
          </w:p>
        </w:tc>
      </w:tr>
      <w:tr>
        <w:tc>
          <w:tcPr>
            <w:tcW w:type="dxa" w:w="6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bCs/>
                <w:color w:val="374151"/>
                <w:sz w:val="18"/>
                <w:szCs w:val="18"/>
              </w:rPr>
              <w:t xml:space="preserve">9</w:t>
            </w:r>
          </w:p>
        </w:tc>
        <w:tc>
          <w:tcPr>
            <w:tcW w:type="dxa" w:w="3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Bound period selectors</w:t>
            </w:r>
          </w:p>
        </w:tc>
        <w:tc>
          <w:tcPr>
            <w:tcW w:type="dxa" w:w="1200"/>
            <w:tcBorders>
              <w:top w:val="single" w:color="D1D5DB" w:sz="1"/>
              <w:left w:val="single" w:color="D1D5DB" w:sz="1"/>
              <w:bottom w:val="single" w:color="D1D5DB" w:sz="1"/>
              <w:right w:val="single" w:color="D1D5DB" w:sz="1"/>
            </w:tcBorders>
            <w:shd w:fill="E8F0FE" w:val="clear"/>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Trivial</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Low</w:t>
            </w:r>
          </w:p>
        </w:tc>
        <w:tc>
          <w:tcPr>
            <w:tcW w:type="dxa" w:w="166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gst_report_screen</w:t>
            </w:r>
          </w:p>
        </w:tc>
      </w:tr>
      <w:tr>
        <w:tc>
          <w:tcPr>
            <w:tcW w:type="dxa" w:w="6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bCs/>
                <w:color w:val="374151"/>
                <w:sz w:val="18"/>
                <w:szCs w:val="18"/>
              </w:rPr>
              <w:t xml:space="preserve">10</w:t>
            </w:r>
          </w:p>
        </w:tc>
        <w:tc>
          <w:tcPr>
            <w:tcW w:type="dxa" w:w="35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Increment drift detection</w:t>
            </w:r>
          </w:p>
        </w:tc>
        <w:tc>
          <w:tcPr>
            <w:tcW w:type="dxa" w:w="1200"/>
            <w:tcBorders>
              <w:top w:val="single" w:color="D1D5DB" w:sz="1"/>
              <w:left w:val="single" w:color="D1D5DB" w:sz="1"/>
              <w:bottom w:val="single" w:color="D1D5DB" w:sz="1"/>
              <w:right w:val="single" w:color="D1D5DB" w:sz="1"/>
            </w:tcBorders>
            <w:shd w:fill="DCFCE7" w:val="clear"/>
            <w:tcMar>
              <w:top w:type="dxa" w:w="50"/>
              <w:left w:type="dxa" w:w="80"/>
              <w:bottom w:type="dxa" w:w="50"/>
              <w:right w:type="dxa" w:w="80"/>
            </w:tcMar>
          </w:tcPr>
          <w:p>
            <w:r>
              <w:rPr>
                <w:rFonts w:ascii="Arial" w:cs="Arial" w:eastAsia="Arial" w:hAnsi="Arial"/>
                <w:b w:val="false"/>
                <w:bCs w:val="false"/>
                <w:color w:val="374151"/>
                <w:sz w:val="18"/>
                <w:szCs w:val="18"/>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Low</w:t>
            </w:r>
          </w:p>
        </w:tc>
        <w:tc>
          <w:tcPr>
            <w:tcW w:type="dxa" w:w="1660"/>
            <w:tcBorders>
              <w:top w:val="single" w:color="D1D5DB" w:sz="1"/>
              <w:left w:val="single" w:color="D1D5DB" w:sz="1"/>
              <w:bottom w:val="single" w:color="D1D5DB" w:sz="1"/>
              <w:right w:val="single" w:color="D1D5DB" w:sz="1"/>
            </w:tcBorders>
            <w:shd w:fill="FFFFFF" w:val="clear"/>
            <w:tcMar>
              <w:top w:type="dxa" w:w="50"/>
              <w:left w:type="dxa" w:w="80"/>
              <w:bottom w:type="dxa" w:w="50"/>
              <w:right w:type="dxa" w:w="80"/>
            </w:tcMar>
          </w:tcPr>
          <w:p>
            <w:r>
              <w:rPr>
                <w:rFonts w:ascii="Arial" w:cs="Arial" w:eastAsia="Arial" w:hAnsi="Arial"/>
                <w:b w:val="false"/>
                <w:bCs w:val="false"/>
                <w:color w:val="374151"/>
                <w:sz w:val="18"/>
                <w:szCs w:val="18"/>
              </w:rPr>
              <w:t xml:space="preserve">analytics_service</w:t>
            </w:r>
          </w:p>
        </w:tc>
      </w:tr>
    </w:tbl>
    <w:p>
      <w:pPr>
        <w:spacing w:before="360"/>
      </w:pPr>
    </w:p>
    <w:p>
      <w:pPr>
        <w:spacing w:after="120"/>
      </w:pPr>
      <w:r>
        <w:rPr>
          <w:rFonts w:ascii="Arial" w:cs="Arial" w:eastAsia="Arial" w:hAnsi="Arial"/>
          <w:b w:val="false"/>
          <w:bCs w:val="false"/>
          <w:i/>
          <w:iCs/>
          <w:color w:val="6B7280"/>
          <w:sz w:val="22"/>
          <w:szCs w:val="22"/>
        </w:rPr>
        <w:t xml:space="preserve">Fixes 1-3 can be deployed immediately with minimal risk. Fixes 4-5 require coordinated changes across the service layer. Fix 6 requires a Cloud Function redeploy and analytics reconciliation.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BillRaja GST Report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2026-04-08T09:29:35.180Z</dcterms:created>
  <dcterms:modified xsi:type="dcterms:W3CDTF">2026-04-08T09:29:35.181Z</dcterms:modified>
</cp:coreProperties>
</file>

<file path=docProps/custom.xml><?xml version="1.0" encoding="utf-8"?>
<Properties xmlns="http://schemas.openxmlformats.org/officeDocument/2006/custom-properties" xmlns:vt="http://schemas.openxmlformats.org/officeDocument/2006/docPropsVTypes"/>
</file>