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关于雪花算法：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212122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122"/>
          <w:spacing w:val="0"/>
          <w:sz w:val="19"/>
          <w:szCs w:val="19"/>
          <w:shd w:val="clear" w:fill="FFFFFF"/>
        </w:rPr>
        <w:t>可以将雪花算法作为一个单独的服务进行部署，然后需要全局唯一 id 的系统，请求雪花算法服务获取 id 即可。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212122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122"/>
          <w:spacing w:val="0"/>
          <w:sz w:val="19"/>
          <w:szCs w:val="19"/>
          <w:shd w:val="clear" w:fill="FFFFFF"/>
        </w:rPr>
        <w:t>对于每一个雪花算法服务，需要先指定10位的机器码，这个根据自身业务进行设定即可。例如机房号+机器号，机器号+服务号，或者是其他可区别标识的10位比特位的整数值都行。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212122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214376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6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2023-04-03T07:27:30Z</dcterms:created>
  <dc:creator>半世琉璃</dc:creator>
  <cp:lastModifiedBy>半世琉璃</cp:lastModifiedBy>
  <dcterms:modified xsi:type="dcterms:W3CDTF">2023-04-03T10:31:16Z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