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4322"/>
        <w:gridCol w:w="4858"/>
        <w:tblGridChange w:id="0">
          <w:tblGrid>
            <w:gridCol w:w="4322"/>
            <w:gridCol w:w="485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dc600" w:val="clear"/>
            <w:vAlign w:val="top"/>
          </w:tcPr>
          <w:p w:rsidR="00000000" w:rsidDel="00000000" w:rsidP="00000000" w:rsidRDefault="00000000" w:rsidRPr="00000000" w14:paraId="00000002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PROGRAMA(S) ACADÉMICO(S)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Administración de Empresas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NOMBRE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Electiva </w:t>
            </w: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Negociación de Conflictos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TIPO DE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i w:val="0"/>
                <w:iCs w:val="0"/>
                <w:color w:val="80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Teórica-Práctica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MODALIDAD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i w:val="0"/>
                <w:iCs w:val="0"/>
                <w:color w:val="80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Distancia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20959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CRÉDITOS ACADÉMICOS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HORAS DE ACOMPAÑAMIENTO DIRECTO TOTALES CON EL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HORAS DE TRABAJO INDEPENDIENTE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vertAlign w:val="baselin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FECHA DE ELABORACIÓN O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Diciembre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20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Los conflictos se presentan en el manejo de las organizaciones. Debido a lo anterior los administradores de empresas requieren de una orientación para entender las relaciones empresariales con el fin de persuadir bajo estándares éticos a las otras partes mediante tácticas de negociación que mitiguen los efectos negativos del conflicto.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Para lograrlo se requiere desarrollar en el futuro administrador de empresas habilidades y destrezas para liderar grupos y organizaciones utilizando herramientas que le permitan comunicarse de manera efectiva y gestionar conflictos de manera estratégica entre miembros internos y externos de una organización.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En ese sentido se busca que el futuro administrador de empresas consolide las competencias necesarias para ser un mejor negociador y alcance acuerdos beneficiosos para las partes involucradas en situaciones de negociación y conflicto.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54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0"/>
        </w:trPr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2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COMPETENCIA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29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RESULTADOS ACADÉMICOS DEL PROGRAMA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4.Liderar el talento humano de manera ética, estratégica y socialmente responsable en las organizaciones para lograr su desarrollo personal y el mejoramiento competitivo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i w:val="0"/>
                <w:iCs w:val="0"/>
                <w:color w:val="80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4.1 Planear estrategias de gestión de talento humano a partir de las competencias, conocimientos y habilidades requeridas en la organización para lograr el desarrollo personal y profesional de los empleados y el alcance de las metas organizacionales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0"/>
        </w:trPr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2F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COMPETENCIAS ESPECÍFICAS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30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RESULTADOS ACADÉMICOS ESPECIFICOS DE LA ASIGNATURA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4.1 Planear estrategias de gestión de talento humano a partir de las competencias, conocimientos y habilidades requeridas en la organización para lograr el desarrollo personal y profesional de los empleados y el alcance de las metas organizacionales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1. Liderar el talento humano a partir de la solución estratégica de conflictos para alcanzar los objetivos comunes de la 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ind w:left="36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2. Planear estrategias de negociación a partir de la información proveniente del entorno para obtener beneficios colectivos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ind w:left="36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3. Reconocer la importancia de la ética en la negociación de conflictos para generar relaciones de largo plazo con las partes interesadas de la organización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80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3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CONTENIDO DISCIPLINAR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i w:val="0"/>
                <w:iCs w:val="0"/>
                <w:color w:val="80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926.0" w:type="dxa"/>
              <w:jc w:val="left"/>
              <w:tblBorders>
                <w:top w:color="0e2841" w:space="0" w:sz="4" w:val="single"/>
                <w:left w:color="0e2841" w:space="0" w:sz="4" w:val="single"/>
                <w:bottom w:color="0e2841" w:space="0" w:sz="4" w:val="single"/>
                <w:right w:color="0e2841" w:space="0" w:sz="4" w:val="single"/>
                <w:insideH w:color="0e2841" w:space="0" w:sz="4" w:val="single"/>
                <w:insideV w:color="0e2841" w:space="0" w:sz="4" w:val="single"/>
              </w:tblBorders>
              <w:tblLayout w:type="fixed"/>
              <w:tblLook w:val="0000"/>
            </w:tblPr>
            <w:tblGrid>
              <w:gridCol w:w="2975"/>
              <w:gridCol w:w="2975"/>
              <w:gridCol w:w="2976"/>
              <w:tblGridChange w:id="0">
                <w:tblGrid>
                  <w:gridCol w:w="2975"/>
                  <w:gridCol w:w="2975"/>
                  <w:gridCol w:w="29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c600" w:val="clear"/>
                  <w:vAlign w:val="center"/>
                </w:tcPr>
                <w:p w:rsidR="00000000" w:rsidDel="00000000" w:rsidP="00000000" w:rsidRDefault="00000000" w:rsidRPr="00000000" w14:paraId="0000003A">
                  <w:pPr>
                    <w:jc w:val="center"/>
                    <w:rPr>
                      <w:b w:val="0"/>
                      <w:b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vertAlign w:val="baseline"/>
                      <w:rtl w:val="0"/>
                    </w:rPr>
                    <w:t xml:space="preserve">CONTENIDOS (Temas / Saberes / Prácticas)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c600" w:val="clear"/>
                  <w:vAlign w:val="center"/>
                </w:tcPr>
                <w:p w:rsidR="00000000" w:rsidDel="00000000" w:rsidP="00000000" w:rsidRDefault="00000000" w:rsidRPr="00000000" w14:paraId="0000003B">
                  <w:pPr>
                    <w:jc w:val="center"/>
                    <w:rPr>
                      <w:b w:val="0"/>
                      <w:b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vertAlign w:val="baseline"/>
                      <w:rtl w:val="0"/>
                    </w:rPr>
                    <w:t xml:space="preserve">ACTIVIDADES DE APRENDIZAJE (Estrategias Pedagógicas / Didácticas, TIC,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c600" w:val="clear"/>
                  <w:vAlign w:val="center"/>
                </w:tcPr>
                <w:p w:rsidR="00000000" w:rsidDel="00000000" w:rsidP="00000000" w:rsidRDefault="00000000" w:rsidRPr="00000000" w14:paraId="0000003C">
                  <w:pPr>
                    <w:jc w:val="center"/>
                    <w:rPr>
                      <w:b w:val="0"/>
                      <w:b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vertAlign w:val="baseline"/>
                      <w:rtl w:val="0"/>
                    </w:rPr>
                    <w:t xml:space="preserve">ESTRATEGIAS DE EVALUACIÓN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jc w:val="center"/>
                    <w:rPr>
                      <w:b w:val="0"/>
                      <w:bCs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vertAlign w:val="baseline"/>
                      <w:rtl w:val="0"/>
                    </w:rPr>
                    <w:t xml:space="preserve">(Durante el proceso formativo)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E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1.</w:t>
                  </w:r>
                </w:p>
                <w:p w:rsidR="00000000" w:rsidDel="00000000" w:rsidP="00000000" w:rsidRDefault="00000000" w:rsidRPr="00000000" w14:paraId="00000040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La naturaleza de la negociación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4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Cuestionarios para evaluación de comprensión lectora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 Encuentros virtuales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8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Evaluación de conocimientos a través de preguntas de selección múltiple con única respuesta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4A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2.</w:t>
                  </w:r>
                </w:p>
                <w:p w:rsidR="00000000" w:rsidDel="00000000" w:rsidP="00000000" w:rsidRDefault="00000000" w:rsidRPr="00000000" w14:paraId="0000004C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Estrategia y tácticas de la negociación distributiva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F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Cuestionarios para evaluación de comprensión lectora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 Encuentros virtuales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3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Evaluación de conocimientos a través de preguntas de selección múltiple con única respuesta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5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3.</w:t>
                  </w:r>
                </w:p>
                <w:p w:rsidR="00000000" w:rsidDel="00000000" w:rsidP="00000000" w:rsidRDefault="00000000" w:rsidRPr="00000000" w14:paraId="00000057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Estrategia y tácticas de la negociación integradora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(Program on Negotiation, 2008)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B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Juego de rol o simulaciones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C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Acta de acuerdo como resultado juego simulación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D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4.</w:t>
                  </w:r>
                </w:p>
                <w:p w:rsidR="00000000" w:rsidDel="00000000" w:rsidP="00000000" w:rsidRDefault="00000000" w:rsidRPr="00000000" w14:paraId="0000005F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Negociación: Estrategia y planeación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2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Cuestionarios para evaluación de comprensión lectora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 Encuentros virtuales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6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Evaluación de conocimientos a través de preguntas de selección múltiple con única respuesta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8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rPr>
                      <w:i w:val="1"/>
                      <w:i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5.</w:t>
                  </w:r>
                </w:p>
                <w:p w:rsidR="00000000" w:rsidDel="00000000" w:rsidP="00000000" w:rsidRDefault="00000000" w:rsidRPr="00000000" w14:paraId="0000006A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Percepción, cognición y emoción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6)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D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Cuestionarios para evaluación de comprensión lectora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 Encuentros virtuales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1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Evaluación de conocimientos a través de preguntas de selección múltiple con única respuesta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3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6.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Comunicación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7)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(Program on Negotiation, 2008)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9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Juego de rol o simulaciones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A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Acta de acuerdo como resultado juego simulación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B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7.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Obtención y uso del poder de negociación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8)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0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Cuestionarios para evaluación de comprensión lectora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 Encuentros virtuales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4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Evaluación de conocimientos a través de preguntas de selección múltiple con única respuesta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86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8.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Ética en la negociación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5)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B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Cuestionarios para evaluación de comprensión lectora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 Encuentros virtuales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F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Evaluación de conocimientos a través de preguntas de selección múltiple con única respuesta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1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rtl w:val="0"/>
                    </w:rPr>
                    <w:t xml:space="preserve">Semana 9.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Las mejores prácticas en las negociaciones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rPr>
                      <w:i w:val="0"/>
                      <w:iCs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(Lewicki et al., 2024, Capítulo 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(Program on Negotiation, 2008)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6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- Juego de rol o simulaciones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7">
                  <w:pPr>
                    <w:rPr>
                      <w:i w:val="0"/>
                      <w:iCs w:val="0"/>
                      <w:color w:val="80808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16"/>
                      <w:szCs w:val="16"/>
                      <w:vertAlign w:val="baseline"/>
                      <w:rtl w:val="0"/>
                    </w:rPr>
                    <w:t xml:space="preserve">Acta de acuerdo como resultado juego simulación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rPr>
                <w:b w:val="0"/>
                <w:bCs w:val="0"/>
                <w:color w:val="365f9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80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9B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EVALUACIÓN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En armonía con lo que establecido en el Reglamento Estudiantil de Pregrado respecto al Acuerdo 02 de 2015 actualizado, conforme a los Acuerdos 01 de 2017, 05 de 2018 y 04 de 2020, que lo modifican parcialmente respecto al artículo 69 la forma la distribución de la nota final será la siguiente: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Primer parcial: 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Segundo parcial: 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Examen final: 40%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TOTAL: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La distribución de cada uno de estos porcentajes, así como los criterios particulares de evaluación, serán establecidos por el profesor e informados a los estudiantes al iniciar el correspondiente período académico, mediante la guía de cátedra.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80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A7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ind w:left="720" w:hanging="36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Índice con referencias de páginas y citas bibliográficas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2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left="72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Program on Negotiation. (2008). Three Party Coalition Exercise—Game Theory and Negotiation Analytics Role-Play (Harvard Law School, Ed.).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ind w:left="720" w:hanging="36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Libros textos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ind w:left="720" w:hanging="36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Libros electrónicos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2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2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Lewicki, R. J., Barry, B., &amp; Saunders, D. M. (2024). Negociación (9a ed.). McGraw-Hill Education. </w:t>
            </w:r>
            <w:hyperlink r:id="rId7">
              <w:r w:rsidDel="00000000" w:rsidR="00000000" w:rsidRPr="00000000">
                <w:rPr>
                  <w:i w:val="1"/>
                  <w:iCs w:val="1"/>
                  <w:color w:val="467886"/>
                  <w:sz w:val="16"/>
                  <w:szCs w:val="16"/>
                  <w:u w:val="single"/>
                  <w:vertAlign w:val="baseline"/>
                  <w:rtl w:val="0"/>
                </w:rPr>
                <w:t xml:space="preserve">https://www-ebooks7-24-com.ezproxy.umng.edu.co/?il=40562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80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dc600" w:val="clear"/>
            <w:vAlign w:val="top"/>
          </w:tcPr>
          <w:p w:rsidR="00000000" w:rsidDel="00000000" w:rsidP="00000000" w:rsidRDefault="00000000" w:rsidRPr="00000000" w14:paraId="000000B1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MATERIAL COMPLEMENTARIO DE APRENDIZAJE PARA ESTUDIANTES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ind w:left="720" w:hanging="36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Preguntas de repaso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ind w:left="720" w:hanging="36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Material Multimedia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left="72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72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Program on Negotiation. (2014a). Negotiation Role-Play: Three-Party Coalition Exercise - Game Theory &amp; Negotiation Analytics. </w:t>
            </w:r>
            <w:hyperlink r:id="rId8">
              <w:r w:rsidDel="00000000" w:rsidR="00000000" w:rsidRPr="00000000">
                <w:rPr>
                  <w:i w:val="1"/>
                  <w:iCs w:val="1"/>
                  <w:color w:val="467886"/>
                  <w:sz w:val="16"/>
                  <w:szCs w:val="16"/>
                  <w:u w:val="single"/>
                  <w:vertAlign w:val="baseline"/>
                  <w:rtl w:val="0"/>
                </w:rPr>
                <w:t xml:space="preserve">https://www.youtube.com/watch?v=oaOv_iXOvtY</w:t>
              </w:r>
            </w:hyperlink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left="72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firstLine="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Program on Negotiation. (2014b). Negotiation Role-Play: Three-Party Coalition Exercise - Game Theory &amp; Negotiation Analytics. </w:t>
            </w:r>
            <w:hyperlink r:id="rId9">
              <w:r w:rsidDel="00000000" w:rsidR="00000000" w:rsidRPr="00000000">
                <w:rPr>
                  <w:i w:val="1"/>
                  <w:iCs w:val="1"/>
                  <w:color w:val="467886"/>
                  <w:sz w:val="16"/>
                  <w:szCs w:val="16"/>
                  <w:u w:val="single"/>
                  <w:vertAlign w:val="baseline"/>
                  <w:rtl w:val="0"/>
                </w:rPr>
                <w:t xml:space="preserve">https://www.youtube.com/watch?v=O2d6XuDm-ok&amp;feature=emb_title</w:t>
              </w:r>
            </w:hyperlink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ind w:left="720" w:hanging="36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Enlaces en la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ind w:left="720" w:hanging="360"/>
              <w:rPr>
                <w:i w:val="0"/>
                <w:i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Curso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CONTROL DE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e2841" w:space="0" w:sz="4" w:val="single"/>
          <w:left w:color="0e2841" w:space="0" w:sz="4" w:val="single"/>
          <w:bottom w:color="0e2841" w:space="0" w:sz="4" w:val="single"/>
          <w:right w:color="0e2841" w:space="0" w:sz="4" w:val="single"/>
          <w:insideH w:color="0e2841" w:space="0" w:sz="4" w:val="single"/>
          <w:insideV w:color="0e2841" w:space="0" w:sz="4" w:val="single"/>
        </w:tblBorders>
        <w:tblLayout w:type="fixed"/>
        <w:tblLook w:val="0000"/>
      </w:tblPr>
      <w:tblGrid>
        <w:gridCol w:w="2992"/>
        <w:gridCol w:w="4346"/>
        <w:gridCol w:w="1640"/>
        <w:tblGridChange w:id="0">
          <w:tblGrid>
            <w:gridCol w:w="2992"/>
            <w:gridCol w:w="4346"/>
            <w:gridCol w:w="1640"/>
          </w:tblGrid>
        </w:tblGridChange>
      </w:tblGrid>
      <w:tr>
        <w:trPr>
          <w:cantSplit w:val="0"/>
          <w:tblHeader w:val="0"/>
        </w:trPr>
        <w:tc>
          <w:tcPr>
            <w:shd w:fill="fdc600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CAMBIO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c600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JUSTIFICACIÓN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c600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ACTA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>
          <w:rFonts w:ascii="Candara" w:cs="Candara" w:eastAsia="Candara" w:hAnsi="Candar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701" w:top="1701" w:left="1701" w:right="1701" w:header="709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250.0" w:type="dxa"/>
      <w:jc w:val="left"/>
      <w:tblInd w:w="-108.0" w:type="dxa"/>
      <w:tblLayout w:type="fixed"/>
      <w:tblLook w:val="0000"/>
    </w:tblPr>
    <w:tblGrid>
      <w:gridCol w:w="9250"/>
      <w:tblGridChange w:id="0">
        <w:tblGrid>
          <w:gridCol w:w="925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El uso no autorizado así como la reproducción total o parcial de su contenido por cualquier persona o entidad, estará en contra de los derechos de autor.</w:t>
          </w:r>
        </w:p>
      </w:tc>
    </w:tr>
  </w:tbl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MILITAR NUEVA GRANADA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inline distB="0" distT="0" distL="114300" distR="114300">
          <wp:extent cx="647700" cy="600075"/>
          <wp:effectExtent b="0" l="0" r="0" t="0"/>
          <wp:docPr id="10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60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181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94"/>
      <w:gridCol w:w="1954"/>
      <w:gridCol w:w="1733"/>
      <w:tblGridChange w:id="0">
        <w:tblGrid>
          <w:gridCol w:w="5494"/>
          <w:gridCol w:w="1954"/>
          <w:gridCol w:w="1733"/>
        </w:tblGrid>
      </w:tblGridChange>
    </w:tblGrid>
    <w:tr>
      <w:trPr>
        <w:cantSplit w:val="1"/>
        <w:trHeight w:val="454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F5">
          <w:pPr>
            <w:jc w:val="center"/>
            <w:rPr>
              <w:b w:val="0"/>
              <w:bCs w:val="0"/>
              <w:sz w:val="36"/>
              <w:szCs w:val="36"/>
              <w:vertAlign w:val="baseline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vertAlign w:val="baseline"/>
              <w:rtl w:val="0"/>
            </w:rPr>
            <w:t xml:space="preserve">CONTENIDO PROGRAMÁTICO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F6">
          <w:pPr>
            <w:jc w:val="center"/>
            <w:rPr>
              <w:b w:val="0"/>
              <w:bCs w:val="0"/>
              <w:color w:val="00000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000000"/>
              <w:sz w:val="20"/>
              <w:szCs w:val="20"/>
              <w:vertAlign w:val="baseline"/>
              <w:rtl w:val="0"/>
            </w:rPr>
            <w:t xml:space="preserve">Fecha Emisión: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jc w:val="center"/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2025/10/27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F8">
          <w:pPr>
            <w:jc w:val="center"/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AC-GA-F-8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54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0FA">
          <w:pPr>
            <w:jc w:val="center"/>
            <w:rPr>
              <w:b w:val="0"/>
              <w:bCs w:val="0"/>
              <w:color w:val="00000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000000"/>
              <w:sz w:val="20"/>
              <w:szCs w:val="20"/>
              <w:vertAlign w:val="baseline"/>
              <w:rtl w:val="0"/>
            </w:rPr>
            <w:t xml:space="preserve">Revisión No.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jc w:val="center"/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FC">
          <w:pPr>
            <w:jc w:val="center"/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CO" w:val="es-CO"/>
    </w:rPr>
  </w:style>
  <w:style w:type="paragraph" w:styleId="Footer">
    <w:name w:val="Footer"/>
    <w:basedOn w:val="Normal"/>
    <w:next w:val="Footer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CO" w:val="es-CO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e2841" w:space="0" w:sz="4" w:val="single"/>
        <w:left w:color="0e2841" w:space="0" w:sz="4" w:val="single"/>
        <w:bottom w:color="0e2841" w:space="0" w:sz="4" w:val="single"/>
        <w:right w:color="0e2841" w:space="0" w:sz="4" w:val="single"/>
        <w:insideH w:color="0e2841" w:space="0" w:sz="4" w:val="single"/>
        <w:insideV w:color="0e2841" w:space="0" w:sz="4" w:val="single"/>
      </w:tblBorders>
    </w:tblPr>
  </w:style>
  <w:style w:type="paragraph" w:styleId="DecimalAligned">
    <w:name w:val="Decimal Aligned"/>
    <w:basedOn w:val="Normal"/>
    <w:next w:val="DecimalAligned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paragraph" w:styleId="FootnoteText">
    <w:name w:val="Footnote Text"/>
    <w:basedOn w:val="Normal"/>
    <w:next w:val="FootnoteText"/>
    <w:autoRedefine w:val="0"/>
    <w:hidden w:val="0"/>
    <w:qFormat w:val="1"/>
    <w:pPr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effect w:val="none"/>
      <w:vertAlign w:val="baseline"/>
      <w:cs w:val="0"/>
      <w:em w:val="none"/>
      <w:lang w:bidi="ar-SA" w:eastAsia="en-US" w:val="es-ES"/>
    </w:rPr>
  </w:style>
  <w:style w:type="character" w:styleId="FootnoteTextChar">
    <w:name w:val="Footnote Text Char"/>
    <w:next w:val="FootnoteTextChar"/>
    <w:autoRedefine w:val="0"/>
    <w:hidden w:val="0"/>
    <w:qFormat w:val="0"/>
    <w:rPr>
      <w:rFonts w:ascii="Calibri" w:cs="Times New Roman" w:eastAsia="Times New Roman" w:hAnsi="Calibri"/>
      <w:w w:val="100"/>
      <w:position w:val="-1"/>
      <w:effect w:val="none"/>
      <w:vertAlign w:val="baseline"/>
      <w:cs w:val="0"/>
      <w:em w:val="none"/>
      <w:lang w:val="es-ES"/>
    </w:rPr>
  </w:style>
  <w:style w:type="character" w:styleId="SubtleEmphasis">
    <w:name w:val="Subtle Emphasis"/>
    <w:next w:val="SubtleEmphasis"/>
    <w:autoRedefine w:val="0"/>
    <w:hidden w:val="0"/>
    <w:qFormat w:val="0"/>
    <w:rPr>
      <w:i w:val="1"/>
      <w:iCs w:val="1"/>
      <w:color w:val="808080"/>
      <w:w w:val="100"/>
      <w:position w:val="-1"/>
      <w:szCs w:val="22"/>
      <w:effect w:val="none"/>
      <w:vertAlign w:val="baseline"/>
      <w:cs w:val="0"/>
      <w:em w:val="none"/>
      <w:lang w:val="es-ES"/>
    </w:rPr>
  </w:style>
  <w:style w:type="table" w:styleId="MediumShading2-Accent5">
    <w:name w:val="Medium Shading 2 - Accent 5"/>
    <w:basedOn w:val="TableNormal"/>
    <w:next w:val="MediumShading2-Accent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val="es-ES"/>
    </w:rPr>
    <w:tblPr>
      <w:tblStyle w:val="MediumShading2-Accent5"/>
      <w:tblStyleRowBandSize w:val="1"/>
      <w:tblStyleColBandSize w:val="1"/>
      <w:jc w:val="left"/>
      <w:tblBorders>
        <w:top w:color="auto" w:space="0" w:sz="18" w:val="single"/>
        <w:left w:color="auto" w:space="0" w:sz="0" w:val="none"/>
        <w:bottom w:color="auto" w:space="0" w:sz="1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MediumList2-Accent1">
    <w:name w:val="Medium List 2 - Accent 1"/>
    <w:basedOn w:val="TableNormal"/>
    <w:next w:val="MediumList2-Accent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hAnsi="Cambria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val="es-ES"/>
    </w:rPr>
    <w:tblPr>
      <w:tblStyle w:val="MediumList2-Accent1"/>
      <w:tblStyleRowBandSize w:val="1"/>
      <w:tblStyleColBandSize w:val="1"/>
      <w:jc w:val="left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auto" w:space="0" w:sz="0" w:val="none"/>
        <w:insideV w:color="auto" w:space="0" w:sz="0" w:val="none"/>
      </w:tblBorders>
    </w:tblPr>
  </w:style>
  <w:style w:type="table" w:styleId="LightShading">
    <w:name w:val="Light Shading"/>
    <w:basedOn w:val="TableNormal"/>
    <w:next w:val="LightShad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/>
    </w:rPr>
    <w:tblPr>
      <w:tblStyle w:val="LightShading"/>
      <w:tblStyleRowBandSize w:val="1"/>
      <w:tblStyleColBandSize w:val="1"/>
      <w:jc w:val="left"/>
      <w:tblBorders>
        <w:top w:color="000000" w:space="0" w:sz="8" w:val="single"/>
        <w:left w:color="auto" w:space="0" w:sz="0" w:val="none"/>
        <w:bottom w:color="000000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LightList-Accent5">
    <w:name w:val="Light List - Accent 5"/>
    <w:basedOn w:val="TableNormal"/>
    <w:next w:val="LightList-Accent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LightList-Accent5"/>
      <w:tblStyleRowBandSize w:val="1"/>
      <w:tblStyleColBandSize w:val="1"/>
      <w:jc w:val="left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auto" w:space="0" w:sz="0" w:val="none"/>
        <w:insideV w:color="auto" w:space="0" w:sz="0" w:val="non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CO" w:val="es-CO"/>
    </w:rPr>
  </w:style>
  <w:style w:type="character" w:styleId="HeaderChar">
    <w:name w:val="Header Char"/>
    <w:next w:val="HeaderChar"/>
    <w:autoRedefine w:val="0"/>
    <w:hidden w:val="0"/>
    <w:qFormat w:val="0"/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eastAsia="es-CO" w:val="es-CO"/>
    </w:rPr>
  </w:style>
  <w:style w:type="character" w:styleId="FooterChar">
    <w:name w:val="Footer Char"/>
    <w:next w:val="FooterChar"/>
    <w:autoRedefine w:val="0"/>
    <w:hidden w:val="0"/>
    <w:qFormat w:val="0"/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eastAsia="es-CO" w:val="es-CO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CO" w:val="es-CO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s-CO" w:val="es-CO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CO" w:val="es-CO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NoSpacingChar">
    <w:name w:val="No Spacing Char"/>
    <w:next w:val="NoSpacing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0"/>
      <w:effect w:val="none"/>
      <w:vertAlign w:val="baseline"/>
      <w:cs w:val="0"/>
      <w:em w:val="none"/>
      <w:lang w:bidi="ar-SA" w:eastAsia="es-CO" w:val="es-CO"/>
    </w:rPr>
  </w:style>
  <w:style w:type="character" w:styleId="CommentTextChar">
    <w:name w:val="Comment Text Char"/>
    <w:next w:val="CommentText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0"/>
      <w:effect w:val="none"/>
      <w:vertAlign w:val="baseline"/>
      <w:cs w:val="0"/>
      <w:em w:val="none"/>
      <w:lang w:bidi="ar-SA" w:eastAsia="es-CO" w:val="es-CO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Revision">
    <w:name w:val="Revision"/>
    <w:next w:val="Revisio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CO" w:val="es-CO"/>
    </w:rPr>
  </w:style>
  <w:style w:type="table" w:styleId="Estilo1">
    <w:name w:val="Estilo1"/>
    <w:basedOn w:val="TableNormal"/>
    <w:next w:val="Estilo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Estilo1"/>
      <w:jc w:val="left"/>
    </w:tblPr>
  </w:style>
  <w:style w:type="character" w:styleId="Hyperlink">
    <w:name w:val="Hyperlink"/>
    <w:next w:val="Hyperlink"/>
    <w:autoRedefine w:val="0"/>
    <w:hidden w:val="0"/>
    <w:qFormat w:val="1"/>
    <w:rPr>
      <w:color w:val="467886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youtube.com/watch?v=O2d6XuDm-ok&amp;feature=emb_titl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-ebooks7-24-com.ezproxy.umng.edu.co/?il=40562" TargetMode="External"/><Relationship Id="rId8" Type="http://schemas.openxmlformats.org/officeDocument/2006/relationships/hyperlink" Target="https://www.youtube.com/watch?v=oaOv_iXOv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5I+7GHrdEq2AkA84LN9iyamF4w==">CgMxLjA4AHIhMWwyNk0wVHpiUjlxUWVvNkRwa1BEcUlYbWV6SEZRZjNl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2025-09-04T14:45:00Z</dcterms:created>
  <dc:creator>Marianabg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