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6"/>
          <w:szCs w:val="46"/>
        </w:rPr>
        <w:t xml:space="preserve">SPECIFICA TECNICA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Motore di estrazione Tesseract OCR + invoice2data
per l10n_it_foreign_invoice_sdi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12 template YAML fornitori pre-inclusi
Architettura OcrService + ExtractionService
Versione 2.0 – Marzo 2026</w:t>
      </w:r>
    </w:p>
    <w:p>
      <w:r>
        <w:br w:type="page"/>
      </w:r>
    </w:p>
    <w:p>
      <w:pPr>
        <w:pStyle w:val="Heading1"/>
      </w:pPr>
      <w:r>
        <w:t xml:space="preserve">1. Architettura del motore Tesseract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l'operatore seleziona 'Tesseract OCR locale' nelle Impostazioni, il modulo usa due servizi in sequenza:</w:t>
      </w:r>
    </w:p>
    <w:p>
      <w:pPr>
        <w:spacing w:after="80"/>
      </w:pPr>
    </w:p>
    <w:p>
      <w:pPr>
        <w:pStyle w:val="Heading2"/>
      </w:pPr>
      <w:r>
        <w:t xml:space="preserve">1.1 OcrService (services/ocr_service.py)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Responsabilità: estrarre il testo grezzo dal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Primo tentativo: pdfplumber </w:t>
      </w:r>
      <w:r>
        <w:rPr>
          <w:rFonts w:ascii="Arial" w:cs="Arial" w:eastAsia="Arial" w:hAnsi="Arial"/>
          <w:sz w:val="22"/>
          <w:szCs w:val="22"/>
        </w:rPr>
        <w:t xml:space="preserve">— per PDF digitali nativi (generati da software, non scansionati). Più veloce e accurato.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Fallback: Tesseract OCR </w:t>
      </w:r>
      <w:r>
        <w:rPr>
          <w:rFonts w:ascii="Arial" w:cs="Arial" w:eastAsia="Arial" w:hAnsi="Arial"/>
          <w:sz w:val="22"/>
          <w:szCs w:val="22"/>
        </w:rPr>
        <w:t xml:space="preserve">— se pdfplumber estrae meno di 50 caratteri, il PDF è probabilmente una scansione. Tesseract converte l'immagine in testo.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Lingue OCR: </w:t>
      </w:r>
      <w:r>
        <w:rPr>
          <w:rFonts w:ascii="Arial" w:cs="Arial" w:eastAsia="Arial" w:hAnsi="Arial"/>
          <w:sz w:val="22"/>
          <w:szCs w:val="22"/>
        </w:rPr>
        <w:t xml:space="preserve">configurabili nelle impostazioni. Default: 'ita+eng+deu+fra+spa' (italiano + inglese + tedesco + francese + spagnolo)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Output: testo grezzo salvato nel campo raw_text del record foreign.invoice.import</w:t>
      </w:r>
    </w:p>
    <w:p>
      <w:pPr>
        <w:spacing w:after="80"/>
      </w:pP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class OcrService: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def extract_text(self, attachment, languages='ita+eng+deu+fra+spa'):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pdf_content = base64.b64decode(attachment.datas)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# Primo: pdfplumber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text = self._extract_with_pdfplumber(pdf_content)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if len(text.strip()) &gt;= 50: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return text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# Fallback: Tesseract OCR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return self._extract_with_tesseract(pdf_content, languages)</w:t>
      </w:r>
    </w:p>
    <w:p>
      <w:r>
        <w:br w:type="page"/>
      </w:r>
    </w:p>
    <w:p>
      <w:pPr>
        <w:pStyle w:val="Heading2"/>
      </w:pPr>
      <w:r>
        <w:t xml:space="preserve">1.2 ExtractionService (services/extraction_service.py)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Responsabilità: prendere il testo grezzo e estrarre i campi strutturati usando invoice2data.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Carica tutti i template YAML dalla directory data/templates/ del modulo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invoice2data confronta il testo con le keyword di ogni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Quando trova un match, applica le regex definite nel template per estrarre i campi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Restituisce un dizionario con i campi estratti, o None se nessun template corrisponde</w:t>
      </w:r>
    </w:p>
    <w:p>
      <w:pPr>
        <w:spacing w:after="80"/>
      </w:pP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class ExtractionService: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def extract_fields(self, raw_text):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templates_dir = os.path.join(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os.path.dirname(__file__), '..', 'data', 'templates')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result = invoice2data.extract_data(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raw_text, templates=[templates_dir])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if result: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    return self._map_to_odoo_fields(result)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return None</w:t>
      </w:r>
    </w:p>
    <w:p>
      <w:r>
        <w:br w:type="page"/>
      </w:r>
    </w:p>
    <w:p>
      <w:pPr>
        <w:pStyle w:val="Heading1"/>
      </w:pPr>
      <w:r>
        <w:t xml:space="preserve">2. Template YAML: struttura e formato</w:t>
      </w:r>
    </w:p>
    <w:p>
      <w:pPr>
        <w:pStyle w:val="Heading2"/>
      </w:pPr>
      <w:r>
        <w:t xml:space="preserve">2.1 Gestione dei template</w:t>
      </w:r>
    </w:p>
    <w:p>
      <w:pPr>
        <w:pBdr>
          <w:left w:val="single" w:color="F39C12" w:sz="8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template sono SOLO file YAML statici nel codice del modulo. </w:t>
      </w:r>
      <w:r>
        <w:rPr>
          <w:rFonts w:ascii="Arial" w:cs="Arial" w:eastAsia="Arial" w:hAnsi="Arial"/>
          <w:sz w:val="22"/>
          <w:szCs w:val="22"/>
        </w:rPr>
        <w:t xml:space="preserve">Non esiste nessun modello foreign.invoice.template nel database Odoo, nessun wizard di creazione, nessuna interfaccia di gestione. Per aggiungere un nuovo fornitore, lo sviluppatore crea un file YAML e aggiorna il modulo.</w:t>
      </w:r>
    </w:p>
    <w:p>
      <w:pPr>
        <w:spacing w:after="80"/>
      </w:pPr>
    </w:p>
    <w:p>
      <w:pPr>
        <w:pStyle w:val="Heading2"/>
      </w:pPr>
      <w:r>
        <w:t xml:space="preserve">2.2 Formato di un template YAML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Ogni file YAML segue il formato standard di invoice2data:</w:t>
      </w:r>
    </w:p>
    <w:p>
      <w:pPr>
        <w:spacing w:after="80"/>
      </w:pP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# data/templates/hetzner.yml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issuer: Hetzner Online GmbH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keywords: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- Hetzner Online GmbH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- DE812871812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fields: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invoice_number: 'Invoice No\.\s+(\S+)'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date: 'Invoice Date:\s+(\d{2}\.\d{2}\.\d{4})'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amount_total: 'Total\s+EUR\s+([\d,.]+)'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amount_untaxed: 'Net Amount\s+EUR\s+([\d,.]+)'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vat_amount: 'VAT.*EUR\s+([\d,.]+)'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options: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currency: EUR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date_formats: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- '%d.%m.%Y'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decimal_separator: ','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# Campi aggiuntivi per il modulo italiano: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static_fields: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supplier_vat: DE812871812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supplier_country: DE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tipo_documento: TD17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description_type: SERVIZI</w:t>
      </w:r>
    </w:p>
    <w:p>
      <w:r>
        <w:br w:type="page"/>
      </w:r>
    </w:p>
    <w:p>
      <w:pPr>
        <w:pStyle w:val="Heading1"/>
      </w:pPr>
      <w:r>
        <w:t xml:space="preserve">3. I 12 template pre-inclusi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Ogni template è pre-configurato con keyword, regex, P.IVA, paese e tipo documento di default.</w:t>
      </w:r>
    </w:p>
    <w:p>
      <w:pPr>
        <w:spacing w:after="80"/>
      </w:pPr>
    </w:p>
    <w:p>
      <w:pPr>
        <w:pStyle w:val="Heading2"/>
      </w:pPr>
      <w:r>
        <w:t xml:space="preserve">3.1 AWS (aws.yml)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Issuer: Amazon Web Services EMEA SARL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Keywords: 'Amazon Web Services', 'AWS EMEA SARL', 'LU26888617'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P.IVA: LU26888617 | Paese: LU | TD: TD17 | Valuta: EUR/USD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Regex: invoice number (INV-xxxx), date, total, line items per servizio</w:t>
      </w:r>
    </w:p>
    <w:p>
      <w:pPr>
        <w:spacing w:after="80"/>
      </w:pPr>
    </w:p>
    <w:p>
      <w:pPr>
        <w:pStyle w:val="Heading2"/>
      </w:pPr>
      <w:r>
        <w:t xml:space="preserve">3.2 Google Cloud (google_cloud.yml)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Issuer: Google Cloud Platform (Google Ireland Limited)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Keywords: 'Google Ireland Limited', 'Google Cloud', 'IE6388047V'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P.IVA: IE6388047V | Paese: IE | TD: TD17 | Valuta: EUR/USD</w:t>
      </w:r>
    </w:p>
    <w:p>
      <w:pPr>
        <w:spacing w:after="80"/>
      </w:pPr>
    </w:p>
    <w:p>
      <w:pPr>
        <w:pStyle w:val="Heading2"/>
      </w:pPr>
      <w:r>
        <w:t xml:space="preserve">3.3 Google Workspace (google_workspace.yml)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Issuer: Google Workspace (Google Ireland Limited)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Keywords: 'Google Workspace', 'G Suite', 'IE6388047V'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P.IVA: IE6388047V | Paese: IE | TD: TD17 | Valuta: EUR</w:t>
      </w:r>
    </w:p>
    <w:p>
      <w:pPr>
        <w:spacing w:after="80"/>
      </w:pPr>
    </w:p>
    <w:p>
      <w:pPr>
        <w:pStyle w:val="Heading2"/>
      </w:pPr>
      <w:r>
        <w:t xml:space="preserve">3.4 Microsoft Azure (microsoft_azure.yml)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Issuer: Microsoft Ireland Operations Limited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Keywords: 'Microsoft Ireland', 'Azure', 'IE8256796U'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P.IVA: IE8256796U | Paese: IE | TD: TD17 | Valuta: EUR/USD</w:t>
      </w:r>
    </w:p>
    <w:p>
      <w:pPr>
        <w:spacing w:after="80"/>
      </w:pPr>
    </w:p>
    <w:p>
      <w:pPr>
        <w:pStyle w:val="Heading2"/>
      </w:pPr>
      <w:r>
        <w:t xml:space="preserve">3.5 Microsoft 365 (microsoft_365.yml)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Issuer: Microsoft Ireland Operations Limited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Keywords: 'Microsoft 365', 'Office 365', 'IE8256796U'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P.IVA: IE8256796U | Paese: IE | TD: TD17 | Valuta: EUR</w:t>
      </w:r>
    </w:p>
    <w:p>
      <w:pPr>
        <w:spacing w:after="80"/>
      </w:pPr>
    </w:p>
    <w:p>
      <w:pPr>
        <w:pStyle w:val="Heading2"/>
      </w:pPr>
      <w:r>
        <w:t xml:space="preserve">3.6 Hetzner (hetzner.yml)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Issuer: Hetzner Online GmbH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Keywords: 'Hetzner Online GmbH', 'DE812871812'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P.IVA: DE812871812 | Paese: DE | TD: TD17 | Valuta: EUR</w:t>
      </w:r>
    </w:p>
    <w:p>
      <w:pPr>
        <w:spacing w:after="80"/>
      </w:pPr>
    </w:p>
    <w:p>
      <w:pPr>
        <w:pStyle w:val="Heading2"/>
      </w:pPr>
      <w:r>
        <w:t xml:space="preserve">3.7 OVHcloud (ovhcloud.yml)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Issuer: OVH 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Keywords: 'OVH SAS', 'OVHcloud', 'FR22424761419'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P.IVA: FR22424761419 | Paese: FR | TD: TD17 | Valuta: EUR</w:t>
      </w:r>
    </w:p>
    <w:p>
      <w:pPr>
        <w:spacing w:after="80"/>
      </w:pPr>
    </w:p>
    <w:p>
      <w:pPr>
        <w:pStyle w:val="Heading2"/>
      </w:pPr>
      <w:r>
        <w:t xml:space="preserve">3.8 Meta / Facebook Ads (meta_facebook_ads.yml)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Issuer: Meta Platforms Ireland Limited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Keywords: 'Meta Platforms Ireland', 'Facebook', 'IE9692928F'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P.IVA: IE9692928F | Paese: IE | TD: TD17 | Valuta: EUR/USD</w:t>
      </w:r>
    </w:p>
    <w:p>
      <w:pPr>
        <w:spacing w:after="80"/>
      </w:pPr>
    </w:p>
    <w:p>
      <w:pPr>
        <w:pStyle w:val="Heading2"/>
      </w:pPr>
      <w:r>
        <w:t xml:space="preserve">3.9 Stripe (stripe.yml)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Issuer: Stripe Payments Europe Limited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Keywords: 'Stripe Payments Europe', 'IE3206488LH'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P.IVA: IE3206488LH | Paese: IE | TD: TD17 | Valuta: EUR/USD</w:t>
      </w:r>
    </w:p>
    <w:p>
      <w:pPr>
        <w:spacing w:after="80"/>
      </w:pPr>
    </w:p>
    <w:p>
      <w:pPr>
        <w:pStyle w:val="Heading2"/>
      </w:pPr>
      <w:r>
        <w:t xml:space="preserve">3.10 Alibaba / AliExpress (alibaba_aliexpress.yml)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Issuer: Alibaba.com Singapore E-Commerce Pte Ltd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Keywords: 'Alibaba', 'AliExpress', 'alibaba.com'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Paese: SG | TD: TD17 | Valuta: USD/EUR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Nota: fornitore extra-UE, potrebbe non avere P.IVA UE</w:t>
      </w:r>
    </w:p>
    <w:p>
      <w:pPr>
        <w:spacing w:after="80"/>
      </w:pPr>
    </w:p>
    <w:p>
      <w:pPr>
        <w:pStyle w:val="Heading2"/>
      </w:pPr>
      <w:r>
        <w:t xml:space="preserve">3.11 Shopify (shopify.yml)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Issuer: Shopify International Limited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Keywords: 'Shopify International', 'IE3343944KH'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P.IVA: IE3343944KH | Paese: IE | TD: TD17 | Valuta: EUR/USD</w:t>
      </w:r>
    </w:p>
    <w:p>
      <w:pPr>
        <w:spacing w:after="80"/>
      </w:pPr>
    </w:p>
    <w:p>
      <w:pPr>
        <w:pStyle w:val="Heading2"/>
      </w:pPr>
      <w:r>
        <w:t xml:space="preserve">3.12 Airbnb (airbnb.yml)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Issuer: Airbnb Ireland UC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Keywords: 'Airbnb Ireland', 'Airbnb', 'IE9827384L'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P.IVA: IE9827384L | Paese: IE | TD: TD17 | Valuta: 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Nota: le fatture Airbnb possono essere commissioni di servizio (TD17) o relative a soggiorni già in Italia (verificare se TD19 è più appropriato caso per caso)</w:t>
      </w:r>
    </w:p>
    <w:p>
      <w:r>
        <w:br w:type="page"/>
      </w:r>
    </w:p>
    <w:p>
      <w:pPr>
        <w:pStyle w:val="Heading1"/>
      </w:pPr>
      <w:r>
        <w:t xml:space="preserve">4. Dipendenze Python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 aggiungere al Dockerfile di OdooManager.cloud: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RUN pip install --break-system-packages pdfplumber pytesseract invoice2data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Impatto sull'infrastruttura: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Aspetto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Dettaglio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Spazio Docker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~80 MB (Tesseract + dizionari lingue + pdfplumber + invoice2data)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RAM aggiuntiva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~50-100 MB durante elaborazione OCR (trascurabile)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CPU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Elaborazione sincrona su CPU. ~1-3 sec per PDF digitale, ~5-10 sec per scansione OCR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GPU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 richiesta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Pacchetti sistema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tesseract-ocr, tesseract-ocr-ita, tesseract-ocr-deu, tesseract-ocr-fra, tesseract-ocr-spa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Privacy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100% locale — nessun dato esce dal 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Zero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Aggiungere un nuovo template fornitore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aggiungere un fornitore non coperto: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Ottenere un PDF di esempio della fattura del fornitore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Estrarre il testo con pdfplumber o Tesseract per identificare i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Creare un file YAML nella directory data/templates/ con keyword e regex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Testare: caricare un PDF di test nel modulo e verificare che i campi vengano estratti correttamente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Aggiornare il modulo Odoo (riavvio o -u l10n_it_foreign_invoice_sdi)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questa operazione richiede competenze tecniche (regex). È pensata per lo sviluppatore, non per l'operatore contabile. L'operatore che riceve una fattura da un fornitore senza template compila i campi manualmente.</w:t>
      </w:r>
    </w:p>
    <w:sectPr>
      <w:headerReference w:type="default" r:id="rId7"/>
      <w:footerReference w:type="default" r:id="rId8"/>
      <w:pgSz w:w="11906" w:h="16838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Riservato – OdooManager.cloud – Marzo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3" w:space="4"/>
      </w:pBdr>
    </w:pPr>
    <w:r>
      <w:rPr>
        <w:rFonts w:ascii="Arial" w:cs="Arial" w:eastAsia="Arial" w:hAnsi="Arial"/>
        <w:b/>
        <w:bCs/>
        <w:color w:val="1B4F72"/>
        <w:sz w:val="17"/>
        <w:szCs w:val="17"/>
      </w:rPr>
      <w:t xml:space="preserve">OdooManager.cloud</w:t>
    </w:r>
    <w:r>
      <w:rPr>
        <w:rFonts w:ascii="Arial" w:cs="Arial" w:eastAsia="Arial" w:hAnsi="Arial"/>
        <w:color w:val="7F8C8D"/>
        <w:sz w:val="15"/>
        <w:szCs w:val="15"/>
      </w:rPr>
      <w:t xml:space="preserve">  |  Specifica Tesseract + invoice2data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4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2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2026-03-22T11:50:22.894Z</dcterms:created>
  <dcterms:modified xsi:type="dcterms:W3CDTF">2026-03-22T11:50:22.895Z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